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A16C7B">
      <w:pPr>
        <w:jc w:val="center"/>
        <w:rPr>
          <w:rFonts w:ascii="仿宋" w:hAnsi="仿宋" w:eastAsia="仿宋"/>
          <w:b/>
          <w:bCs/>
          <w:sz w:val="30"/>
          <w:szCs w:val="30"/>
        </w:rPr>
      </w:pPr>
      <w:r>
        <w:rPr>
          <w:rFonts w:hint="eastAsia" w:ascii="仿宋" w:hAnsi="仿宋" w:eastAsia="仿宋"/>
          <w:b/>
          <w:bCs/>
          <w:sz w:val="30"/>
          <w:szCs w:val="30"/>
        </w:rPr>
        <w:t>化工学院研究生导师简介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1669"/>
        <w:gridCol w:w="703"/>
        <w:gridCol w:w="695"/>
        <w:gridCol w:w="335"/>
        <w:gridCol w:w="1473"/>
        <w:gridCol w:w="1220"/>
        <w:gridCol w:w="1356"/>
      </w:tblGrid>
      <w:tr w14:paraId="1D88B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846" w:type="dxa"/>
            <w:vAlign w:val="center"/>
          </w:tcPr>
          <w:p w14:paraId="35876DA9">
            <w:pPr>
              <w:jc w:val="center"/>
              <w:rPr>
                <w:rFonts w:ascii="仿宋" w:hAnsi="仿宋" w:eastAsia="仿宋" w:cs="Arial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Arial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1669" w:type="dxa"/>
            <w:vAlign w:val="center"/>
          </w:tcPr>
          <w:p w14:paraId="2786AF88">
            <w:pPr>
              <w:jc w:val="center"/>
              <w:rPr>
                <w:rFonts w:hint="eastAsia" w:ascii="仿宋" w:hAnsi="仿宋" w:eastAsia="仿宋" w:cs="Arial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Arial"/>
                <w:b/>
                <w:bCs/>
                <w:sz w:val="24"/>
                <w:szCs w:val="24"/>
                <w:lang w:val="en-US" w:eastAsia="zh-CN"/>
              </w:rPr>
              <w:t>解玉龙</w:t>
            </w:r>
          </w:p>
        </w:tc>
        <w:tc>
          <w:tcPr>
            <w:tcW w:w="703" w:type="dxa"/>
            <w:vAlign w:val="center"/>
          </w:tcPr>
          <w:p w14:paraId="7508C4A7">
            <w:pPr>
              <w:jc w:val="center"/>
              <w:rPr>
                <w:rFonts w:ascii="仿宋" w:hAnsi="仿宋" w:eastAsia="仿宋" w:cs="Arial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Arial"/>
                <w:b/>
                <w:bCs/>
                <w:sz w:val="24"/>
                <w:szCs w:val="24"/>
              </w:rPr>
              <w:t>性别</w:t>
            </w:r>
          </w:p>
        </w:tc>
        <w:tc>
          <w:tcPr>
            <w:tcW w:w="1030" w:type="dxa"/>
            <w:gridSpan w:val="2"/>
            <w:vAlign w:val="center"/>
          </w:tcPr>
          <w:p w14:paraId="6C6D291C">
            <w:pPr>
              <w:jc w:val="center"/>
              <w:rPr>
                <w:rFonts w:hint="eastAsia" w:ascii="仿宋" w:hAnsi="仿宋" w:eastAsia="仿宋" w:cs="Arial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Arial"/>
                <w:b/>
                <w:bCs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1473" w:type="dxa"/>
            <w:vAlign w:val="center"/>
          </w:tcPr>
          <w:p w14:paraId="32CF0D7C">
            <w:pPr>
              <w:jc w:val="center"/>
              <w:rPr>
                <w:rFonts w:ascii="仿宋" w:hAnsi="仿宋" w:eastAsia="仿宋" w:cs="Arial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Arial"/>
                <w:b/>
                <w:bCs/>
                <w:sz w:val="24"/>
                <w:szCs w:val="24"/>
              </w:rPr>
              <w:t>出生年月</w:t>
            </w:r>
          </w:p>
        </w:tc>
        <w:tc>
          <w:tcPr>
            <w:tcW w:w="1220" w:type="dxa"/>
            <w:vAlign w:val="center"/>
          </w:tcPr>
          <w:p w14:paraId="4C4520B1">
            <w:pPr>
              <w:jc w:val="center"/>
              <w:rPr>
                <w:rFonts w:hint="default" w:ascii="仿宋" w:hAnsi="仿宋" w:eastAsia="仿宋" w:cs="Arial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Arial"/>
                <w:b/>
                <w:bCs/>
                <w:sz w:val="24"/>
                <w:szCs w:val="24"/>
                <w:lang w:val="en-US" w:eastAsia="zh-CN"/>
              </w:rPr>
              <w:t>1978.02</w:t>
            </w:r>
          </w:p>
        </w:tc>
        <w:tc>
          <w:tcPr>
            <w:tcW w:w="1355" w:type="dxa"/>
            <w:vMerge w:val="restart"/>
            <w:vAlign w:val="center"/>
          </w:tcPr>
          <w:p w14:paraId="13040D8E">
            <w:pPr>
              <w:spacing w:line="480" w:lineRule="auto"/>
              <w:jc w:val="center"/>
              <w:rPr>
                <w:rFonts w:hint="eastAsia" w:ascii="仿宋" w:hAnsi="仿宋" w:eastAsia="仿宋" w:cs="Arial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Arial"/>
                <w:b/>
                <w:bCs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722630" cy="1033780"/>
                  <wp:effectExtent l="0" t="0" r="1270" b="7620"/>
                  <wp:docPr id="2" name="图片 2" descr="IMG_62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627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2630" cy="1033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7A56E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846" w:type="dxa"/>
            <w:vAlign w:val="center"/>
          </w:tcPr>
          <w:p w14:paraId="222B4792">
            <w:pPr>
              <w:jc w:val="center"/>
              <w:rPr>
                <w:rFonts w:ascii="仿宋" w:hAnsi="仿宋" w:eastAsia="仿宋" w:cs="Arial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Arial"/>
                <w:b/>
                <w:bCs/>
                <w:sz w:val="24"/>
                <w:szCs w:val="24"/>
              </w:rPr>
              <w:t>最高学历</w:t>
            </w:r>
          </w:p>
        </w:tc>
        <w:tc>
          <w:tcPr>
            <w:tcW w:w="1669" w:type="dxa"/>
            <w:vAlign w:val="center"/>
          </w:tcPr>
          <w:p w14:paraId="71657099">
            <w:pPr>
              <w:jc w:val="center"/>
              <w:rPr>
                <w:rFonts w:hint="default" w:ascii="仿宋" w:hAnsi="仿宋" w:eastAsia="仿宋" w:cs="Arial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Arial"/>
                <w:b/>
                <w:bCs/>
                <w:sz w:val="24"/>
                <w:szCs w:val="24"/>
                <w:lang w:val="en-US" w:eastAsia="zh-CN"/>
              </w:rPr>
              <w:t>博士研究生</w:t>
            </w:r>
          </w:p>
        </w:tc>
        <w:tc>
          <w:tcPr>
            <w:tcW w:w="703" w:type="dxa"/>
            <w:vAlign w:val="center"/>
          </w:tcPr>
          <w:p w14:paraId="5B9D7F23">
            <w:pPr>
              <w:rPr>
                <w:rFonts w:ascii="仿宋" w:hAnsi="仿宋" w:eastAsia="仿宋" w:cs="Arial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Arial"/>
                <w:b/>
                <w:bCs/>
                <w:sz w:val="24"/>
                <w:szCs w:val="24"/>
              </w:rPr>
              <w:t>最高学位</w:t>
            </w:r>
          </w:p>
        </w:tc>
        <w:tc>
          <w:tcPr>
            <w:tcW w:w="1030" w:type="dxa"/>
            <w:gridSpan w:val="2"/>
            <w:vAlign w:val="center"/>
          </w:tcPr>
          <w:p w14:paraId="44234EBC">
            <w:pPr>
              <w:jc w:val="center"/>
              <w:rPr>
                <w:rFonts w:hint="eastAsia" w:ascii="仿宋" w:hAnsi="仿宋" w:eastAsia="仿宋" w:cs="Arial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Arial"/>
                <w:b/>
                <w:bCs/>
                <w:sz w:val="24"/>
                <w:szCs w:val="24"/>
                <w:lang w:val="en-US" w:eastAsia="zh-CN"/>
              </w:rPr>
              <w:t>博士</w:t>
            </w:r>
          </w:p>
        </w:tc>
        <w:tc>
          <w:tcPr>
            <w:tcW w:w="1473" w:type="dxa"/>
            <w:vAlign w:val="center"/>
          </w:tcPr>
          <w:p w14:paraId="19906727">
            <w:pPr>
              <w:jc w:val="center"/>
              <w:rPr>
                <w:rFonts w:ascii="仿宋" w:hAnsi="仿宋" w:eastAsia="仿宋" w:cs="Arial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Arial"/>
                <w:b/>
                <w:bCs/>
                <w:sz w:val="24"/>
                <w:szCs w:val="24"/>
              </w:rPr>
              <w:t>学位类别</w:t>
            </w:r>
          </w:p>
        </w:tc>
        <w:tc>
          <w:tcPr>
            <w:tcW w:w="1220" w:type="dxa"/>
            <w:vAlign w:val="center"/>
          </w:tcPr>
          <w:p w14:paraId="53D20960">
            <w:pPr>
              <w:jc w:val="center"/>
              <w:rPr>
                <w:rFonts w:hint="default" w:ascii="仿宋" w:hAnsi="仿宋" w:eastAsia="仿宋" w:cs="Arial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Arial"/>
                <w:b/>
                <w:bCs/>
                <w:sz w:val="24"/>
                <w:szCs w:val="24"/>
                <w:lang w:val="en-US" w:eastAsia="zh-CN"/>
              </w:rPr>
              <w:t>理学博士</w:t>
            </w:r>
          </w:p>
        </w:tc>
        <w:tc>
          <w:tcPr>
            <w:tcW w:w="1355" w:type="dxa"/>
            <w:vMerge w:val="continue"/>
            <w:vAlign w:val="center"/>
          </w:tcPr>
          <w:p w14:paraId="3BBE8948">
            <w:pPr>
              <w:jc w:val="center"/>
              <w:rPr>
                <w:rFonts w:ascii="仿宋" w:hAnsi="仿宋" w:eastAsia="仿宋" w:cs="Arial"/>
                <w:b/>
                <w:bCs/>
                <w:sz w:val="24"/>
                <w:szCs w:val="24"/>
              </w:rPr>
            </w:pPr>
          </w:p>
        </w:tc>
      </w:tr>
      <w:tr w14:paraId="37FCFF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846" w:type="dxa"/>
            <w:vAlign w:val="center"/>
          </w:tcPr>
          <w:p w14:paraId="407D4784">
            <w:pPr>
              <w:jc w:val="center"/>
              <w:rPr>
                <w:rFonts w:ascii="仿宋" w:hAnsi="仿宋" w:eastAsia="仿宋" w:cs="Arial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Arial"/>
                <w:b/>
                <w:bCs/>
                <w:sz w:val="24"/>
                <w:szCs w:val="24"/>
              </w:rPr>
              <w:t>工作单位</w:t>
            </w:r>
          </w:p>
        </w:tc>
        <w:tc>
          <w:tcPr>
            <w:tcW w:w="3402" w:type="dxa"/>
            <w:gridSpan w:val="4"/>
            <w:vAlign w:val="center"/>
          </w:tcPr>
          <w:p w14:paraId="45B6D4F9">
            <w:pPr>
              <w:jc w:val="center"/>
              <w:rPr>
                <w:rFonts w:hint="default" w:ascii="仿宋" w:hAnsi="仿宋" w:eastAsia="仿宋" w:cs="Arial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Arial"/>
                <w:b/>
                <w:bCs/>
                <w:sz w:val="24"/>
                <w:szCs w:val="24"/>
                <w:lang w:val="en-US" w:eastAsia="zh-CN"/>
              </w:rPr>
              <w:t>青海民族大学化学与材料科学学院</w:t>
            </w:r>
          </w:p>
        </w:tc>
        <w:tc>
          <w:tcPr>
            <w:tcW w:w="1473" w:type="dxa"/>
            <w:vAlign w:val="center"/>
          </w:tcPr>
          <w:p w14:paraId="121532B8">
            <w:pPr>
              <w:jc w:val="center"/>
              <w:rPr>
                <w:rFonts w:ascii="仿宋" w:hAnsi="仿宋" w:eastAsia="仿宋" w:cs="Arial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Arial"/>
                <w:b/>
                <w:bCs/>
                <w:sz w:val="24"/>
                <w:szCs w:val="24"/>
              </w:rPr>
              <w:t>技术职称</w:t>
            </w:r>
          </w:p>
        </w:tc>
        <w:tc>
          <w:tcPr>
            <w:tcW w:w="1220" w:type="dxa"/>
            <w:vAlign w:val="center"/>
          </w:tcPr>
          <w:p w14:paraId="524783A6">
            <w:pPr>
              <w:jc w:val="center"/>
              <w:rPr>
                <w:rFonts w:hint="eastAsia" w:ascii="仿宋" w:hAnsi="仿宋" w:eastAsia="仿宋" w:cs="Arial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Arial"/>
                <w:b/>
                <w:bCs/>
                <w:sz w:val="24"/>
                <w:szCs w:val="24"/>
                <w:lang w:val="en-US" w:eastAsia="zh-CN"/>
              </w:rPr>
              <w:t>教授</w:t>
            </w:r>
          </w:p>
        </w:tc>
        <w:tc>
          <w:tcPr>
            <w:tcW w:w="1355" w:type="dxa"/>
            <w:vMerge w:val="continue"/>
            <w:vAlign w:val="center"/>
          </w:tcPr>
          <w:p w14:paraId="1C926A19">
            <w:pPr>
              <w:jc w:val="center"/>
              <w:rPr>
                <w:rFonts w:ascii="仿宋" w:hAnsi="仿宋" w:eastAsia="仿宋" w:cs="Arial"/>
                <w:b/>
                <w:bCs/>
                <w:sz w:val="24"/>
                <w:szCs w:val="24"/>
              </w:rPr>
            </w:pPr>
          </w:p>
        </w:tc>
      </w:tr>
      <w:tr w14:paraId="72AA93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846" w:type="dxa"/>
            <w:vMerge w:val="restart"/>
            <w:vAlign w:val="center"/>
          </w:tcPr>
          <w:p w14:paraId="7FD15183">
            <w:pPr>
              <w:jc w:val="center"/>
              <w:rPr>
                <w:rFonts w:ascii="仿宋" w:hAnsi="仿宋" w:eastAsia="仿宋" w:cs="Arial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Arial"/>
                <w:b/>
                <w:bCs/>
                <w:sz w:val="24"/>
                <w:szCs w:val="24"/>
              </w:rPr>
              <w:t>所在学科专业</w:t>
            </w:r>
          </w:p>
        </w:tc>
        <w:tc>
          <w:tcPr>
            <w:tcW w:w="1669" w:type="dxa"/>
            <w:vAlign w:val="center"/>
          </w:tcPr>
          <w:p w14:paraId="20C696DC">
            <w:pPr>
              <w:jc w:val="center"/>
              <w:rPr>
                <w:rFonts w:ascii="仿宋" w:hAnsi="仿宋" w:eastAsia="仿宋" w:cs="Arial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Arial"/>
                <w:b/>
                <w:bCs/>
                <w:sz w:val="24"/>
                <w:szCs w:val="24"/>
              </w:rPr>
              <w:t>学科类别代码</w:t>
            </w:r>
          </w:p>
        </w:tc>
        <w:tc>
          <w:tcPr>
            <w:tcW w:w="1398" w:type="dxa"/>
            <w:gridSpan w:val="2"/>
            <w:vAlign w:val="center"/>
          </w:tcPr>
          <w:p w14:paraId="7D9627F8">
            <w:pPr>
              <w:rPr>
                <w:rFonts w:hint="default" w:ascii="仿宋" w:hAnsi="仿宋" w:eastAsia="仿宋" w:cs="Arial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Arial"/>
                <w:b/>
                <w:bCs/>
                <w:sz w:val="24"/>
                <w:szCs w:val="24"/>
                <w:lang w:val="en-US" w:eastAsia="zh-CN"/>
              </w:rPr>
              <w:t>081704</w:t>
            </w:r>
          </w:p>
        </w:tc>
        <w:tc>
          <w:tcPr>
            <w:tcW w:w="1808" w:type="dxa"/>
            <w:gridSpan w:val="2"/>
            <w:vAlign w:val="center"/>
          </w:tcPr>
          <w:p w14:paraId="7F2B801C">
            <w:pPr>
              <w:jc w:val="center"/>
              <w:rPr>
                <w:rFonts w:ascii="仿宋" w:hAnsi="仿宋" w:eastAsia="仿宋" w:cs="Arial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Arial"/>
                <w:b/>
                <w:bCs/>
                <w:sz w:val="24"/>
                <w:szCs w:val="24"/>
              </w:rPr>
              <w:t>学科类别名称</w:t>
            </w:r>
          </w:p>
        </w:tc>
        <w:tc>
          <w:tcPr>
            <w:tcW w:w="2575" w:type="dxa"/>
            <w:gridSpan w:val="2"/>
            <w:vAlign w:val="center"/>
          </w:tcPr>
          <w:p w14:paraId="42DEA69C">
            <w:pPr>
              <w:jc w:val="center"/>
              <w:rPr>
                <w:rFonts w:hint="default" w:ascii="仿宋" w:hAnsi="仿宋" w:eastAsia="仿宋" w:cs="Arial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Arial"/>
                <w:b/>
                <w:bCs/>
                <w:sz w:val="24"/>
                <w:szCs w:val="24"/>
                <w:lang w:val="en-US" w:eastAsia="zh-CN"/>
              </w:rPr>
              <w:t>应用化学</w:t>
            </w:r>
          </w:p>
        </w:tc>
      </w:tr>
      <w:tr w14:paraId="73CCB5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vMerge w:val="continue"/>
            <w:vAlign w:val="center"/>
          </w:tcPr>
          <w:p w14:paraId="14D64929">
            <w:pPr>
              <w:jc w:val="center"/>
              <w:rPr>
                <w:rFonts w:ascii="仿宋" w:hAnsi="仿宋" w:eastAsia="仿宋" w:cs="Arial"/>
                <w:b/>
                <w:bCs/>
                <w:sz w:val="24"/>
                <w:szCs w:val="24"/>
              </w:rPr>
            </w:pPr>
          </w:p>
        </w:tc>
        <w:tc>
          <w:tcPr>
            <w:tcW w:w="1669" w:type="dxa"/>
            <w:vAlign w:val="center"/>
          </w:tcPr>
          <w:p w14:paraId="43E2DA4A">
            <w:pPr>
              <w:jc w:val="center"/>
              <w:rPr>
                <w:rFonts w:ascii="仿宋" w:hAnsi="仿宋" w:eastAsia="仿宋" w:cs="Arial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Arial"/>
                <w:b/>
                <w:bCs/>
                <w:sz w:val="24"/>
                <w:szCs w:val="24"/>
              </w:rPr>
              <w:t>学科领域代码</w:t>
            </w:r>
          </w:p>
        </w:tc>
        <w:tc>
          <w:tcPr>
            <w:tcW w:w="1398" w:type="dxa"/>
            <w:gridSpan w:val="2"/>
            <w:vAlign w:val="center"/>
          </w:tcPr>
          <w:p w14:paraId="70DD123C">
            <w:pPr>
              <w:rPr>
                <w:rFonts w:hint="default" w:ascii="仿宋" w:hAnsi="仿宋" w:eastAsia="仿宋" w:cs="Arial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Arial"/>
                <w:b/>
                <w:bCs/>
                <w:sz w:val="24"/>
                <w:szCs w:val="24"/>
                <w:lang w:val="en-US" w:eastAsia="zh-CN"/>
              </w:rPr>
              <w:t>085600</w:t>
            </w:r>
          </w:p>
        </w:tc>
        <w:tc>
          <w:tcPr>
            <w:tcW w:w="1808" w:type="dxa"/>
            <w:gridSpan w:val="2"/>
            <w:vAlign w:val="center"/>
          </w:tcPr>
          <w:p w14:paraId="769B6554">
            <w:pPr>
              <w:jc w:val="center"/>
              <w:rPr>
                <w:rFonts w:ascii="仿宋" w:hAnsi="仿宋" w:eastAsia="仿宋" w:cs="Arial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Arial"/>
                <w:b/>
                <w:bCs/>
                <w:sz w:val="24"/>
                <w:szCs w:val="24"/>
              </w:rPr>
              <w:t>学科领域名称</w:t>
            </w:r>
          </w:p>
        </w:tc>
        <w:tc>
          <w:tcPr>
            <w:tcW w:w="2575" w:type="dxa"/>
            <w:gridSpan w:val="2"/>
            <w:vAlign w:val="center"/>
          </w:tcPr>
          <w:p w14:paraId="428B446C">
            <w:pPr>
              <w:jc w:val="center"/>
              <w:rPr>
                <w:rFonts w:hint="default" w:ascii="仿宋" w:hAnsi="仿宋" w:eastAsia="仿宋" w:cs="Arial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Arial"/>
                <w:b/>
                <w:bCs/>
                <w:sz w:val="24"/>
                <w:szCs w:val="24"/>
                <w:lang w:val="en-US" w:eastAsia="zh-CN"/>
              </w:rPr>
              <w:t>材料与化工</w:t>
            </w:r>
          </w:p>
        </w:tc>
      </w:tr>
      <w:tr w14:paraId="1DA92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vAlign w:val="center"/>
          </w:tcPr>
          <w:p w14:paraId="0F536107">
            <w:pPr>
              <w:jc w:val="center"/>
              <w:rPr>
                <w:rFonts w:hint="default" w:ascii="仿宋" w:hAnsi="仿宋" w:eastAsia="仿宋" w:cs="Arial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Arial"/>
                <w:b/>
                <w:bCs/>
                <w:sz w:val="24"/>
                <w:szCs w:val="24"/>
                <w:lang w:val="en-US" w:eastAsia="zh-CN"/>
              </w:rPr>
              <w:t>联系方式</w:t>
            </w:r>
          </w:p>
        </w:tc>
        <w:tc>
          <w:tcPr>
            <w:tcW w:w="7450" w:type="dxa"/>
            <w:gridSpan w:val="7"/>
            <w:vAlign w:val="center"/>
          </w:tcPr>
          <w:p w14:paraId="1D493CAB">
            <w:pPr>
              <w:jc w:val="both"/>
              <w:rPr>
                <w:rFonts w:hint="default" w:ascii="仿宋" w:hAnsi="仿宋" w:eastAsia="仿宋" w:cs="Arial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Arial"/>
                <w:b/>
                <w:bCs/>
                <w:sz w:val="24"/>
                <w:szCs w:val="24"/>
                <w:lang w:val="en-US" w:eastAsia="zh-CN"/>
              </w:rPr>
              <w:t>15897149181</w:t>
            </w:r>
          </w:p>
        </w:tc>
      </w:tr>
      <w:tr w14:paraId="2A0D47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44" w:hRule="atLeast"/>
          <w:jc w:val="center"/>
        </w:trPr>
        <w:tc>
          <w:tcPr>
            <w:tcW w:w="846" w:type="dxa"/>
            <w:textDirection w:val="tbRlV"/>
            <w:vAlign w:val="center"/>
          </w:tcPr>
          <w:p w14:paraId="7DE00EB9">
            <w:pPr>
              <w:ind w:left="113" w:right="113"/>
              <w:jc w:val="center"/>
              <w:rPr>
                <w:rFonts w:ascii="仿宋" w:hAnsi="仿宋" w:eastAsia="仿宋" w:cs="Arial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Arial"/>
                <w:b/>
                <w:bCs/>
                <w:sz w:val="24"/>
                <w:szCs w:val="24"/>
              </w:rPr>
              <w:t>个人简历</w:t>
            </w:r>
          </w:p>
        </w:tc>
        <w:tc>
          <w:tcPr>
            <w:tcW w:w="7450" w:type="dxa"/>
            <w:gridSpan w:val="7"/>
            <w:vAlign w:val="center"/>
          </w:tcPr>
          <w:p w14:paraId="0D4EFB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both"/>
              <w:textAlignment w:val="auto"/>
              <w:rPr>
                <w:rFonts w:ascii="仿宋" w:hAnsi="仿宋" w:eastAsia="仿宋" w:cs="Arial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lang w:eastAsia="zh-CN"/>
              </w:rPr>
              <w:t>博士生导师，</w:t>
            </w:r>
            <w:r>
              <w:rPr>
                <w:rFonts w:hint="eastAsia" w:ascii="仿宋" w:hAnsi="仿宋" w:eastAsia="仿宋" w:cs="仿宋"/>
                <w:sz w:val="24"/>
                <w:lang w:eastAsia="zh-CN"/>
              </w:rPr>
              <w:t>入选</w:t>
            </w:r>
            <w:r>
              <w:rPr>
                <w:rFonts w:ascii="仿宋" w:hAnsi="仿宋" w:eastAsia="仿宋" w:cs="仿宋"/>
                <w:sz w:val="24"/>
                <w:lang w:eastAsia="zh-CN"/>
              </w:rPr>
              <w:t>青海省“高端创新人才千人计划”拔尖人才</w:t>
            </w:r>
            <w:r>
              <w:rPr>
                <w:rFonts w:hint="eastAsia" w:ascii="仿宋" w:hAnsi="仿宋" w:eastAsia="仿宋" w:cs="仿宋"/>
                <w:sz w:val="24"/>
                <w:lang w:eastAsia="zh-CN"/>
              </w:rPr>
              <w:t>，</w:t>
            </w:r>
            <w:r>
              <w:rPr>
                <w:rFonts w:ascii="仿宋" w:hAnsi="仿宋" w:eastAsia="仿宋" w:cs="仿宋"/>
                <w:sz w:val="24"/>
                <w:lang w:eastAsia="zh-CN"/>
              </w:rPr>
              <w:t>青海省高校“135高层次人才培养工程”创新教学科研骨干，青海省级高等学校青年骨干教师。</w:t>
            </w:r>
            <w:r>
              <w:rPr>
                <w:rFonts w:hint="eastAsia" w:ascii="仿宋" w:hAnsi="仿宋" w:eastAsia="仿宋" w:cs="仿宋"/>
                <w:sz w:val="24"/>
                <w:lang w:eastAsia="zh-CN"/>
              </w:rPr>
              <w:t>已发表学术论文70余篇，</w:t>
            </w:r>
            <w:r>
              <w:rPr>
                <w:rFonts w:ascii="仿宋" w:hAnsi="仿宋" w:eastAsia="仿宋" w:cs="仿宋"/>
                <w:sz w:val="24"/>
                <w:lang w:eastAsia="zh-CN"/>
              </w:rPr>
              <w:t>授权发明专利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5</w:t>
            </w:r>
            <w:r>
              <w:rPr>
                <w:rFonts w:ascii="仿宋" w:hAnsi="仿宋" w:eastAsia="仿宋" w:cs="仿宋"/>
                <w:sz w:val="24"/>
                <w:lang w:eastAsia="zh-CN"/>
              </w:rPr>
              <w:t>件</w:t>
            </w:r>
            <w:r>
              <w:rPr>
                <w:rFonts w:hint="eastAsia" w:ascii="仿宋" w:hAnsi="仿宋" w:eastAsia="仿宋" w:cs="仿宋"/>
                <w:sz w:val="24"/>
                <w:lang w:eastAsia="zh-CN"/>
              </w:rPr>
              <w:t>，实用新型专利5件</w:t>
            </w:r>
            <w:r>
              <w:rPr>
                <w:rFonts w:ascii="仿宋" w:hAnsi="仿宋" w:eastAsia="仿宋" w:cs="仿宋"/>
                <w:sz w:val="24"/>
                <w:lang w:eastAsia="zh-CN"/>
              </w:rPr>
              <w:t>。</w:t>
            </w:r>
            <w:r>
              <w:rPr>
                <w:rFonts w:hint="eastAsia" w:ascii="仿宋" w:hAnsi="仿宋" w:eastAsia="仿宋" w:cs="仿宋"/>
                <w:sz w:val="24"/>
                <w:lang w:eastAsia="zh-CN"/>
              </w:rPr>
              <w:t>担任</w:t>
            </w:r>
            <w:r>
              <w:rPr>
                <w:rFonts w:ascii="仿宋" w:hAnsi="仿宋" w:eastAsia="仿宋" w:cs="仿宋"/>
                <w:sz w:val="24"/>
                <w:lang w:eastAsia="zh-CN"/>
              </w:rPr>
              <w:t>《无机盐工业》</w:t>
            </w:r>
            <w:r>
              <w:rPr>
                <w:rFonts w:hint="eastAsia" w:ascii="仿宋" w:hAnsi="仿宋" w:eastAsia="仿宋" w:cs="仿宋"/>
                <w:sz w:val="24"/>
                <w:lang w:eastAsia="zh-CN"/>
              </w:rPr>
              <w:t>《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日用化学工业</w:t>
            </w:r>
            <w:r>
              <w:rPr>
                <w:rFonts w:hint="eastAsia" w:ascii="仿宋" w:hAnsi="仿宋" w:eastAsia="仿宋" w:cs="仿宋"/>
                <w:sz w:val="24"/>
                <w:lang w:eastAsia="zh-CN"/>
              </w:rPr>
              <w:t>》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杂志编委；</w:t>
            </w:r>
            <w:r>
              <w:rPr>
                <w:rFonts w:ascii="仿宋" w:hAnsi="仿宋" w:eastAsia="仿宋" w:cs="仿宋"/>
                <w:sz w:val="24"/>
                <w:lang w:eastAsia="zh-CN"/>
              </w:rPr>
              <w:t>《盐湖研究》</w:t>
            </w:r>
            <w:r>
              <w:rPr>
                <w:rFonts w:hint="eastAsia" w:ascii="仿宋" w:hAnsi="仿宋" w:eastAsia="仿宋" w:cs="仿宋"/>
                <w:sz w:val="24"/>
                <w:lang w:eastAsia="zh-CN"/>
              </w:rPr>
              <w:t>《湿法冶金》《材料研究与应用》</w:t>
            </w:r>
            <w:r>
              <w:rPr>
                <w:rFonts w:ascii="仿宋" w:hAnsi="仿宋" w:eastAsia="仿宋" w:cs="仿宋"/>
                <w:sz w:val="24"/>
                <w:lang w:eastAsia="zh-CN"/>
              </w:rPr>
              <w:t>杂志青年编委</w:t>
            </w:r>
            <w:r>
              <w:rPr>
                <w:rFonts w:hint="eastAsia" w:ascii="仿宋" w:hAnsi="仿宋" w:eastAsia="仿宋" w:cs="仿宋"/>
                <w:sz w:val="24"/>
                <w:lang w:eastAsia="zh-CN"/>
              </w:rPr>
              <w:t>；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sz w:val="24"/>
                <w:lang w:eastAsia="zh-CN"/>
              </w:rPr>
              <w:t>中国化工学会无机酸碱盐领域智库专家。</w:t>
            </w:r>
            <w:r>
              <w:rPr>
                <w:rFonts w:ascii="仿宋" w:hAnsi="仿宋" w:eastAsia="仿宋" w:cs="仿宋"/>
                <w:sz w:val="24"/>
                <w:lang w:eastAsia="zh-CN"/>
              </w:rPr>
              <w:t>承担本科生《物理化学》</w:t>
            </w:r>
            <w:r>
              <w:rPr>
                <w:rFonts w:hint="eastAsia" w:ascii="仿宋" w:hAnsi="仿宋" w:eastAsia="仿宋" w:cs="仿宋"/>
                <w:sz w:val="24"/>
                <w:lang w:eastAsia="zh-CN"/>
              </w:rPr>
              <w:t>《仪器分析》</w:t>
            </w:r>
            <w:r>
              <w:rPr>
                <w:rFonts w:ascii="仿宋" w:hAnsi="仿宋" w:eastAsia="仿宋" w:cs="仿宋"/>
                <w:sz w:val="24"/>
                <w:lang w:eastAsia="zh-CN"/>
              </w:rPr>
              <w:t>和研究生《高等</w:t>
            </w:r>
            <w:r>
              <w:rPr>
                <w:rFonts w:hint="eastAsia" w:ascii="仿宋" w:hAnsi="仿宋" w:eastAsia="仿宋" w:cs="仿宋"/>
                <w:sz w:val="24"/>
                <w:lang w:eastAsia="zh-CN"/>
              </w:rPr>
              <w:t>仪器分析</w:t>
            </w:r>
            <w:r>
              <w:rPr>
                <w:rFonts w:ascii="仿宋" w:hAnsi="仿宋" w:eastAsia="仿宋" w:cs="仿宋"/>
                <w:sz w:val="24"/>
                <w:lang w:eastAsia="zh-CN"/>
              </w:rPr>
              <w:t>》《催化化学》等课程教学任务。</w:t>
            </w:r>
            <w:r>
              <w:rPr>
                <w:rFonts w:hint="eastAsia" w:ascii="仿宋" w:hAnsi="仿宋" w:eastAsia="仿宋" w:cs="仿宋"/>
                <w:sz w:val="24"/>
                <w:lang w:eastAsia="zh-CN"/>
              </w:rPr>
              <w:t>研究领域主要集中在</w:t>
            </w:r>
            <w:r>
              <w:rPr>
                <w:rFonts w:ascii="仿宋" w:hAnsi="仿宋" w:eastAsia="仿宋" w:cs="仿宋"/>
                <w:sz w:val="24"/>
                <w:lang w:eastAsia="zh-CN"/>
              </w:rPr>
              <w:t>纳米材料与光电催化、电化学储能材料与器件，电分析化学</w:t>
            </w:r>
            <w:r>
              <w:rPr>
                <w:rFonts w:hint="eastAsia" w:ascii="仿宋" w:hAnsi="仿宋" w:eastAsia="仿宋" w:cs="仿宋"/>
                <w:sz w:val="24"/>
                <w:lang w:eastAsia="zh-CN"/>
              </w:rPr>
              <w:t>等领域</w:t>
            </w:r>
            <w:r>
              <w:rPr>
                <w:rFonts w:ascii="仿宋" w:hAnsi="仿宋" w:eastAsia="仿宋" w:cs="仿宋"/>
                <w:sz w:val="24"/>
                <w:lang w:eastAsia="zh-CN"/>
              </w:rPr>
              <w:t>。</w:t>
            </w:r>
          </w:p>
        </w:tc>
      </w:tr>
      <w:tr w14:paraId="0D293A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54" w:hRule="atLeast"/>
          <w:jc w:val="center"/>
        </w:trPr>
        <w:tc>
          <w:tcPr>
            <w:tcW w:w="846" w:type="dxa"/>
            <w:textDirection w:val="tbRlV"/>
            <w:vAlign w:val="center"/>
          </w:tcPr>
          <w:p w14:paraId="5A6E362B">
            <w:pPr>
              <w:ind w:left="113" w:right="113"/>
              <w:jc w:val="center"/>
              <w:rPr>
                <w:rFonts w:ascii="仿宋" w:hAnsi="仿宋" w:eastAsia="仿宋" w:cs="Arial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Arial"/>
                <w:b/>
                <w:bCs/>
                <w:sz w:val="24"/>
                <w:szCs w:val="24"/>
              </w:rPr>
              <w:t>研究内容简介</w:t>
            </w:r>
          </w:p>
        </w:tc>
        <w:tc>
          <w:tcPr>
            <w:tcW w:w="7450" w:type="dxa"/>
            <w:gridSpan w:val="7"/>
            <w:vAlign w:val="center"/>
          </w:tcPr>
          <w:p w14:paraId="4D4C8F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both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1.锂离子电池正极材料制备及改性</w:t>
            </w:r>
          </w:p>
          <w:p w14:paraId="42B94D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both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2.钠离子电池正负极材料制备及改性</w:t>
            </w:r>
          </w:p>
          <w:p w14:paraId="75A2E6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both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3.电催化剂制备及性能评价</w:t>
            </w:r>
          </w:p>
          <w:p w14:paraId="05A90A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both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4.光催化剂制备及性能评价</w:t>
            </w:r>
          </w:p>
          <w:p w14:paraId="0D4D05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both"/>
              <w:textAlignment w:val="auto"/>
              <w:rPr>
                <w:rFonts w:hint="default" w:ascii="仿宋" w:hAnsi="仿宋" w:eastAsia="仿宋" w:cs="Arial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5.多孔碳材料制备及性能研究</w:t>
            </w:r>
          </w:p>
        </w:tc>
      </w:tr>
      <w:tr w14:paraId="1C3E02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54" w:hRule="atLeast"/>
          <w:jc w:val="center"/>
        </w:trPr>
        <w:tc>
          <w:tcPr>
            <w:tcW w:w="846" w:type="dxa"/>
            <w:textDirection w:val="tbRlV"/>
            <w:vAlign w:val="center"/>
          </w:tcPr>
          <w:p w14:paraId="06888054">
            <w:pPr>
              <w:ind w:left="113" w:right="113"/>
              <w:jc w:val="center"/>
              <w:rPr>
                <w:rFonts w:ascii="仿宋" w:hAnsi="仿宋" w:eastAsia="仿宋" w:cs="Arial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Arial"/>
                <w:b/>
                <w:bCs/>
                <w:sz w:val="24"/>
                <w:szCs w:val="24"/>
              </w:rPr>
              <w:t>在研科研项目</w:t>
            </w:r>
          </w:p>
        </w:tc>
        <w:tc>
          <w:tcPr>
            <w:tcW w:w="7450" w:type="dxa"/>
            <w:gridSpan w:val="7"/>
            <w:vAlign w:val="center"/>
          </w:tcPr>
          <w:p w14:paraId="3DAFCC51">
            <w:pPr>
              <w:rPr>
                <w:rFonts w:hint="eastAsia" w:ascii="Times New Roman" w:hAnsi="Times New Roman" w:eastAsia="仿宋_GB2312" w:cs="Times New Roman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Arial"/>
                <w:b/>
                <w:bCs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国家自然科学基金项目子课题（高比冲碳氢燃料的自旋光催化合成过程及机理，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U24A20547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），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60万，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2025.01.01-2028.12.31。</w:t>
            </w:r>
          </w:p>
          <w:p w14:paraId="4C355A6F">
            <w:pPr>
              <w:rPr>
                <w:rFonts w:hint="eastAsia" w:ascii="Times New Roman" w:hAnsi="Times New Roman" w:eastAsia="仿宋_GB2312" w:cs="Times New Roman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ascii="Times New Roman" w:hAnsi="Times New Roman" w:eastAsia="仿宋_GB2312" w:cs="Times New Roman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青海省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科技计划应用基础研究</w:t>
            </w:r>
            <w:r>
              <w:rPr>
                <w:rFonts w:ascii="Times New Roman" w:hAnsi="Times New Roman" w:eastAsia="仿宋_GB2312" w:cs="Times New Roman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（杂原子掺杂分级多孔碳电极材料制备及其电化学储能研究，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2024-ZJ-787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，25万，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2024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01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.01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-2026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.12.31。</w:t>
            </w:r>
          </w:p>
          <w:p w14:paraId="15DD50A4">
            <w:pPr>
              <w:rPr>
                <w:rFonts w:hint="default" w:ascii="Times New Roman" w:hAnsi="Times New Roman" w:eastAsia="仿宋_GB2312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青海省“昆仑英才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·科技领军人才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”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计划：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自然科学与工程技术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学科带头人，20万，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.0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.01-202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01。</w:t>
            </w:r>
          </w:p>
        </w:tc>
      </w:tr>
      <w:tr w14:paraId="358AE5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28" w:hRule="atLeast"/>
          <w:jc w:val="center"/>
        </w:trPr>
        <w:tc>
          <w:tcPr>
            <w:tcW w:w="846" w:type="dxa"/>
            <w:textDirection w:val="tbRlV"/>
            <w:vAlign w:val="center"/>
          </w:tcPr>
          <w:p w14:paraId="7D88BFEB">
            <w:pPr>
              <w:ind w:left="113" w:right="113"/>
              <w:jc w:val="center"/>
              <w:rPr>
                <w:rFonts w:ascii="仿宋" w:hAnsi="仿宋" w:eastAsia="仿宋" w:cs="Arial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Arial"/>
                <w:b/>
                <w:bCs/>
                <w:sz w:val="24"/>
                <w:szCs w:val="24"/>
              </w:rPr>
              <w:t>获奖情况</w:t>
            </w:r>
          </w:p>
        </w:tc>
        <w:tc>
          <w:tcPr>
            <w:tcW w:w="7450" w:type="dxa"/>
            <w:gridSpan w:val="7"/>
            <w:vAlign w:val="center"/>
          </w:tcPr>
          <w:p w14:paraId="006ECBBE">
            <w:pPr>
              <w:jc w:val="center"/>
              <w:rPr>
                <w:rFonts w:ascii="仿宋" w:hAnsi="仿宋" w:eastAsia="仿宋" w:cs="Arial"/>
                <w:b/>
                <w:bCs/>
                <w:sz w:val="24"/>
                <w:szCs w:val="24"/>
              </w:rPr>
            </w:pPr>
          </w:p>
        </w:tc>
      </w:tr>
      <w:tr w14:paraId="5C6C6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2" w:hRule="atLeast"/>
          <w:jc w:val="center"/>
        </w:trPr>
        <w:tc>
          <w:tcPr>
            <w:tcW w:w="846" w:type="dxa"/>
            <w:textDirection w:val="tbRlV"/>
            <w:vAlign w:val="center"/>
          </w:tcPr>
          <w:p w14:paraId="37122726">
            <w:pPr>
              <w:ind w:left="113" w:right="113"/>
              <w:jc w:val="center"/>
              <w:rPr>
                <w:rFonts w:ascii="仿宋" w:hAnsi="仿宋" w:eastAsia="仿宋" w:cs="Arial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Arial"/>
                <w:b/>
                <w:bCs/>
                <w:sz w:val="24"/>
                <w:szCs w:val="24"/>
              </w:rPr>
              <w:t>学术论文</w:t>
            </w:r>
          </w:p>
        </w:tc>
        <w:tc>
          <w:tcPr>
            <w:tcW w:w="7450" w:type="dxa"/>
            <w:gridSpan w:val="7"/>
            <w:vAlign w:val="center"/>
          </w:tcPr>
          <w:p w14:paraId="0841B93F">
            <w:pP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  <w:t>1.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  <w:t>Construction of porous sheet-like g-C₃N₄/CdS hierarchical heterojunctions and their application in photocatalytic hydrogen production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  <w:t>. Applied Materials Today 49 (2026) 103130.</w:t>
            </w:r>
          </w:p>
          <w:p w14:paraId="1CC82743">
            <w:pP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  <w:t xml:space="preserve">2. 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  <w:t>N doping promotes the multiplication capability and cycling stability of cobalt-free lithium-rich layered cathode materials. Journal of Power Sources 661 (2026) 238623.</w:t>
            </w:r>
          </w:p>
          <w:p w14:paraId="58738595">
            <w:pP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  <w:t>3. Synergistic activation of MgFe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vertAlign w:val="subscript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  <w:t>O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vertAlign w:val="subscript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  <w:t>/ZnO photocatalyst with peroxymonosulfate enables efficient degradation of ciprofloxacin: A study on radical multipath mechanisms. Colloids and Surfaces A: Physicochemical and Engineering Aspects 731 (2026) 138968.</w:t>
            </w:r>
          </w:p>
          <w:p w14:paraId="6B197337">
            <w:pP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  <w:t>4. Microporous-mesoporous carbon materials with walnut-like structures and phosphorus-doped multilevel structures for supercapacitors. Journal of Power Sources 662 (2026) 238774.</w:t>
            </w:r>
          </w:p>
          <w:p w14:paraId="1DCB05F9">
            <w:pP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  <w:t xml:space="preserve">5. 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  <w:t>Dual cation co-doping strategy for synergistically improving the performance of novel Li-rich manganese-based cathode material. J Mater Sci (2025) 60:25504-25515.</w:t>
            </w:r>
          </w:p>
          <w:p w14:paraId="67F84EBC">
            <w:pP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  <w:t>6. Co ion-modified Li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vertAlign w:val="subscript"/>
                <w:lang w:val="en-US" w:eastAsia="zh-CN"/>
              </w:rPr>
              <w:t>1.6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  <w:t>Mn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vertAlign w:val="subscript"/>
                <w:lang w:val="en-US" w:eastAsia="zh-CN"/>
              </w:rPr>
              <w:t>1.6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  <w:t>O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vertAlign w:val="subscript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  <w:t xml:space="preserve"> with enhanced Li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vertAlign w:val="superscript"/>
                <w:lang w:val="en-US" w:eastAsia="zh-CN"/>
              </w:rPr>
              <w:t>+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  <w:t>adsorption performance and cyclic stability. J Mater Sci (2025) 60:15140-15155.</w:t>
            </w:r>
          </w:p>
          <w:p w14:paraId="4FBFB560">
            <w:pP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  <w:t>7. Amine-Mediated Cosolvent Polymerization for Tunable Mesoporous-Microporous Double-Shell Carbon Spheres toward High-Performance Supercapacitors. Batteries &amp; Supercaps 2025, 9, e202500418.</w:t>
            </w:r>
          </w:p>
          <w:p w14:paraId="40F666CC">
            <w:pP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  <w:t>8. Molten-Salt-Engineered Graphitic C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vertAlign w:val="subscript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  <w:t>N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vertAlign w:val="subscript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  <w:t>/ZnIn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vertAlign w:val="subscript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  <w:t>S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vertAlign w:val="subscript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  <w:t xml:space="preserve"> Composites for Accelerated Charge Separation in Photocatalytic Hydrogen Production. ACS Appl. Nano Mater. 2025, 8, 19619−19629.</w:t>
            </w:r>
          </w:p>
          <w:p w14:paraId="5F54209D">
            <w:pP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  <w:t>9. Bimetallic AgNi co-catalyst modified g-C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vertAlign w:val="subscript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  <w:t>N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vertAlign w:val="subscript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  <w:t xml:space="preserve"> nanosheets for highly efficient photocatalytic hydrogen evolution. Materials Today Sustainability 31 (2025) 101205.</w:t>
            </w:r>
          </w:p>
          <w:p w14:paraId="378EEC95">
            <w:pPr>
              <w:numPr>
                <w:numId w:val="0"/>
              </w:numP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  <w:t xml:space="preserve">10. 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  <w:t>Synthesis of S-doped mesoporous carbon and its use in advanced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  <w:t>supercapacitors and sodium-ion batteries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  <w:t>. Carbon Trends 21 (2025) 100558.</w:t>
            </w:r>
          </w:p>
          <w:p w14:paraId="02E47DCF">
            <w:pPr>
              <w:numPr>
                <w:numId w:val="0"/>
              </w:numP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  <w:t>11. Molybdenum-doped self-supported CoAl layered hydroxide nanosheet arrays as bifunctional catalytic electrodes for overall water splitting. Materials Today Chemistry 48 (2025) 102928.</w:t>
            </w:r>
          </w:p>
          <w:p w14:paraId="613245BC">
            <w:pPr>
              <w:numPr>
                <w:numId w:val="0"/>
              </w:numP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  <w:t>12. Towards sustainable energy storage: Calcium-modified Co-free Li-rich Mn-based cathodes with mitigated voltage decay and enhanced cycle life. Electrochimica Acta 538 (2025) 146972.</w:t>
            </w:r>
          </w:p>
          <w:p w14:paraId="37438A25">
            <w:pPr>
              <w:numPr>
                <w:numId w:val="0"/>
              </w:numP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  <w:t>13. Enhancing Li-ion battery anode performances via Li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vertAlign w:val="subscript"/>
                <w:lang w:val="en-US" w:eastAsia="zh-CN"/>
              </w:rPr>
              <w:t>1.5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  <w:t>Al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vertAlign w:val="subscript"/>
                <w:lang w:val="en-US" w:eastAsia="zh-CN"/>
              </w:rPr>
              <w:t>0.5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  <w:t>Ti1.5(PO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vertAlign w:val="subscript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  <w:t>)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vertAlign w:val="subscript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  <w:t xml:space="preserve"> coated</w:t>
            </w:r>
          </w:p>
          <w:p w14:paraId="16E98165">
            <w:pPr>
              <w:numPr>
                <w:numId w:val="0"/>
              </w:numP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  <w:t>Li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vertAlign w:val="subscript"/>
                <w:lang w:val="en-US" w:eastAsia="zh-CN"/>
              </w:rPr>
              <w:t>1.2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  <w:t>Mn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vertAlign w:val="subscript"/>
                <w:lang w:val="en-US" w:eastAsia="zh-CN"/>
              </w:rPr>
              <w:t>0.54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  <w:t>Ni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vertAlign w:val="subscript"/>
                <w:lang w:val="en-US" w:eastAsia="zh-CN"/>
              </w:rPr>
              <w:t>0.13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  <w:t>Co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vertAlign w:val="subscript"/>
                <w:lang w:val="en-US" w:eastAsia="zh-CN"/>
              </w:rPr>
              <w:t>0.13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  <w:t>O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vertAlign w:val="subscript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  <w:t xml:space="preserve"> cathode. Scientific Reports (2025) 15:26175. </w:t>
            </w:r>
          </w:p>
          <w:p w14:paraId="440015E5">
            <w:pPr>
              <w:numPr>
                <w:numId w:val="0"/>
              </w:numP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  <w:t xml:space="preserve">14. 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  <w:t>Enhancement of electrochemical performance of LiNi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1"/>
                <w:szCs w:val="21"/>
                <w:vertAlign w:val="subscript"/>
                <w:lang w:val="en-US" w:eastAsia="zh-CN"/>
              </w:rPr>
              <w:t>0.65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  <w:t>Co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1"/>
                <w:szCs w:val="21"/>
                <w:vertAlign w:val="subscript"/>
                <w:lang w:val="en-US" w:eastAsia="zh-CN"/>
              </w:rPr>
              <w:t>0.15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  <w:t>Mn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1"/>
                <w:szCs w:val="21"/>
                <w:vertAlign w:val="subscript"/>
                <w:lang w:val="en-US" w:eastAsia="zh-CN"/>
              </w:rPr>
              <w:t>0.2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  <w:t>O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1"/>
                <w:szCs w:val="21"/>
                <w:vertAlign w:val="subscript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  <w:t>cathode materials by Mn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1"/>
                <w:szCs w:val="21"/>
                <w:vertAlign w:val="subscript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  <w:t>O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1"/>
                <w:szCs w:val="21"/>
                <w:vertAlign w:val="subscript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  <w:t xml:space="preserve"> surface modification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  <w:t>. Journal of Alloys and Compounds 1036 (2025) 181493.</w:t>
            </w:r>
          </w:p>
          <w:p w14:paraId="418293AE">
            <w:pPr>
              <w:numPr>
                <w:numId w:val="0"/>
              </w:numP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  <w:t>15. Construction of an advanced MoS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vertAlign w:val="subscript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  <w:t>/MoO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vertAlign w:val="subscript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  <w:t>/NiFe-LDH/NF heterostructure catalyst toward boosting efficient alkaline oxygen evolution reaction. Catal. Sci. Technol., 2025, 15, 3871-3877.</w:t>
            </w:r>
          </w:p>
          <w:p w14:paraId="2D85CFB3">
            <w:pPr>
              <w:numPr>
                <w:numId w:val="0"/>
              </w:numP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  <w:t>16. Hierarchical porous hollow of carbon spheres with high surface area for high performance supercapacitor electrode materials. Scientific Reports (2025) 15:15125.</w:t>
            </w:r>
          </w:p>
          <w:p w14:paraId="49418206">
            <w:pPr>
              <w:numPr>
                <w:numId w:val="0"/>
              </w:numP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  <w:t>17. Synthesis and Supercapacitor Performance of Boron-Doped Phenolic Resin-Based Mesoporous Carbon. ChemistrySelect 2025, 10, e202404942.</w:t>
            </w:r>
          </w:p>
          <w:p w14:paraId="218959B3">
            <w:pPr>
              <w:numPr>
                <w:numId w:val="0"/>
              </w:numP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  <w:t>18. Enhancement of cathode superior kinetics and Li-storage properties of LiMn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vertAlign w:val="subscript"/>
                <w:lang w:val="en-US" w:eastAsia="zh-CN"/>
              </w:rPr>
              <w:t>0.5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  <w:t>Fe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vertAlign w:val="subscript"/>
                <w:lang w:val="en-US" w:eastAsia="zh-CN"/>
              </w:rPr>
              <w:t>0.5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  <w:t>PO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vertAlign w:val="subscript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  <w:t>@C cathode materials by Ni doping strategy. Electrochimica Acta 524 (2025) 145991.</w:t>
            </w:r>
          </w:p>
          <w:p w14:paraId="2799F4C7">
            <w:pPr>
              <w:numPr>
                <w:numId w:val="0"/>
              </w:numPr>
              <w:rPr>
                <w:rFonts w:hint="default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  <w:t>19. AgCl co-catalyst modified g-C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vertAlign w:val="subscript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  <w:t>N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vertAlign w:val="subscript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  <w:t xml:space="preserve"> nanosheets for highly efficient photocatalytic hydrogen evolution. Journal of Industrial and Engineering Chemistry 144 (2025) 301-309.</w:t>
            </w:r>
          </w:p>
          <w:p w14:paraId="1E3276D4">
            <w:pPr>
              <w:numPr>
                <w:numId w:val="0"/>
              </w:numP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  <w:t>20. LiAlSiO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vertAlign w:val="subscript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  <w:t>-coated Li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vertAlign w:val="subscript"/>
                <w:lang w:val="en-US" w:eastAsia="zh-CN"/>
              </w:rPr>
              <w:t>1.2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  <w:t>Mn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vertAlign w:val="subscript"/>
                <w:lang w:val="en-US" w:eastAsia="zh-CN"/>
              </w:rPr>
              <w:t>0.54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  <w:t>Ni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vertAlign w:val="subscript"/>
                <w:lang w:val="en-US" w:eastAsia="zh-CN"/>
              </w:rPr>
              <w:t>0.13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  <w:t>Co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vertAlign w:val="subscript"/>
                <w:lang w:val="en-US" w:eastAsia="zh-CN"/>
              </w:rPr>
              <w:t>0.13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  <w:t>O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vertAlign w:val="subscript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  <w:t xml:space="preserve"> cathode: Enhancing Li-ion battery performance. PLOSONE 20(2): e0318327. </w:t>
            </w:r>
          </w:p>
          <w:p w14:paraId="3D85E221">
            <w:pPr>
              <w:numPr>
                <w:numId w:val="0"/>
              </w:numP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  <w:t>21. Self-supported and integrated Co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vertAlign w:val="subscript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  <w:t>Al-layered bimetallic hydroxide nanoribbons on nickel foam enable efficient electrocatalytic water decomposition. Electrochemistry Communications 173 (2025) 107890.</w:t>
            </w:r>
          </w:p>
          <w:p w14:paraId="1B53A1DE">
            <w:pPr>
              <w:numPr>
                <w:numId w:val="0"/>
              </w:numP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  <w:t>22. Bimetallic ZnNi co-catalyst modified g-C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vertAlign w:val="subscript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  <w:t>N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vertAlign w:val="subscript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  <w:t xml:space="preserve"> nanosheets for highly efficient photocatalytic hydrogen evolution. International Journal of Hydrogen Energy 98 (2025) 1386-1395.</w:t>
            </w:r>
          </w:p>
          <w:p w14:paraId="43387F53">
            <w:pPr>
              <w:numPr>
                <w:numId w:val="0"/>
              </w:numP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  <w:t>23. Improvement of electrochemical performance by surface modification of LiNi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vertAlign w:val="subscript"/>
                <w:lang w:val="en-US" w:eastAsia="zh-CN"/>
              </w:rPr>
              <w:t>0.65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  <w:t>Co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vertAlign w:val="subscript"/>
                <w:lang w:val="en-US" w:eastAsia="zh-CN"/>
              </w:rPr>
              <w:t>0.15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  <w:t>Mn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vertAlign w:val="subscript"/>
                <w:lang w:val="en-US" w:eastAsia="zh-CN"/>
              </w:rPr>
              <w:t>0.2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  <w:t>O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vertAlign w:val="subscript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  <w:t xml:space="preserve"> cathode materials with SnO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vertAlign w:val="subscript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  <w:t>. Colloids and Surfaces A: Physicochemical and Engineering Aspects 705 (2025) 135719.</w:t>
            </w:r>
          </w:p>
          <w:p w14:paraId="6158616C">
            <w:pPr>
              <w:numPr>
                <w:numId w:val="0"/>
              </w:numP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  <w:t>24. Sulfurization-Promoted Surface Reconstruction of CoAl Layered Hydroxide Nanostructures for Alkaline Water Oxidation. ACS Appl. Nano Mater. 2024, 7, 25143−25151.</w:t>
            </w:r>
          </w:p>
          <w:p w14:paraId="30913450">
            <w:pPr>
              <w:numPr>
                <w:numId w:val="0"/>
              </w:numP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  <w:t>25. N-doped LiNi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vertAlign w:val="subscript"/>
                <w:lang w:val="en-US" w:eastAsia="zh-CN"/>
              </w:rPr>
              <w:t>0.65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  <w:t>Co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vertAlign w:val="subscript"/>
                <w:lang w:val="en-US" w:eastAsia="zh-CN"/>
              </w:rPr>
              <w:t>0.15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  <w:t>Mn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vertAlign w:val="subscript"/>
                <w:lang w:val="en-US" w:eastAsia="zh-CN"/>
              </w:rPr>
              <w:t>0.2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  <w:t>O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vertAlign w:val="subscript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  <w:t xml:space="preserve"> ternary cathode materials for improved electrochemical performance. Journal of Energy Storage 101 (2024) 113894.</w:t>
            </w:r>
          </w:p>
          <w:p w14:paraId="58167A06">
            <w:pPr>
              <w:numPr>
                <w:numId w:val="0"/>
              </w:numP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  <w:t>26. Enhanced separation performance of g-C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vertAlign w:val="subscript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  <w:t>N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vertAlign w:val="subscript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  <w:t>/Ag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vertAlign w:val="subscript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  <w:t>PO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vertAlign w:val="subscript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  <w:t xml:space="preserve"> heterojunction photocatalyst for efficient degradation of methylene blue and bisphenol A. Journal of Alloys and Compounds 1005 (2024) 176115.</w:t>
            </w:r>
          </w:p>
          <w:p w14:paraId="47725B4E">
            <w:pPr>
              <w:numPr>
                <w:numId w:val="0"/>
              </w:numP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  <w:t>27. Cation doping for enhanced layer spacing and electrochemical performance in Li-rich Mn-based lithium-ion cathode materials. Journal of Electroanalytical Chemistry 967 (2024) 118453.</w:t>
            </w:r>
          </w:p>
          <w:p w14:paraId="05E66777">
            <w:pPr>
              <w:numPr>
                <w:numId w:val="0"/>
              </w:numPr>
              <w:rPr>
                <w:rFonts w:hint="default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  <w:t>28. AgCo bimetallic cocatalyst modified g-C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vertAlign w:val="subscript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  <w:t>N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vertAlign w:val="subscript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lang w:val="en-US" w:eastAsia="zh-CN"/>
              </w:rPr>
              <w:t xml:space="preserve"> for improving photocatalytic hydrogen evolution. Journal of Physics and Chemistry of Solids 192 (2024) 112119.</w:t>
            </w:r>
          </w:p>
        </w:tc>
      </w:tr>
    </w:tbl>
    <w:p w14:paraId="578D636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68A"/>
    <w:rsid w:val="001F35A7"/>
    <w:rsid w:val="0029539F"/>
    <w:rsid w:val="004746CE"/>
    <w:rsid w:val="005B3E30"/>
    <w:rsid w:val="007A50CC"/>
    <w:rsid w:val="00816522"/>
    <w:rsid w:val="008D5E10"/>
    <w:rsid w:val="00925000"/>
    <w:rsid w:val="009D0328"/>
    <w:rsid w:val="00AF7725"/>
    <w:rsid w:val="00CB768A"/>
    <w:rsid w:val="00D554C6"/>
    <w:rsid w:val="00F343AE"/>
    <w:rsid w:val="07287718"/>
    <w:rsid w:val="0ED10695"/>
    <w:rsid w:val="13A04B52"/>
    <w:rsid w:val="1AEB2ADF"/>
    <w:rsid w:val="1E4E234B"/>
    <w:rsid w:val="25783B09"/>
    <w:rsid w:val="2EB15996"/>
    <w:rsid w:val="34A108BC"/>
    <w:rsid w:val="3A433F47"/>
    <w:rsid w:val="3C3976F6"/>
    <w:rsid w:val="3C6E1E7C"/>
    <w:rsid w:val="40474002"/>
    <w:rsid w:val="459B31D0"/>
    <w:rsid w:val="4ECA6880"/>
    <w:rsid w:val="5BF154A0"/>
    <w:rsid w:val="5C496964"/>
    <w:rsid w:val="605B738C"/>
    <w:rsid w:val="62265778"/>
    <w:rsid w:val="65E120E1"/>
    <w:rsid w:val="67562570"/>
    <w:rsid w:val="6A647785"/>
    <w:rsid w:val="6DE6651B"/>
    <w:rsid w:val="7C2E59F6"/>
    <w:rsid w:val="7E1E1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5CCA9B-7A80-4280-8436-662F5F9ACF8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97</Words>
  <Characters>97</Characters>
  <Lines>1</Lines>
  <Paragraphs>1</Paragraphs>
  <TotalTime>233</TotalTime>
  <ScaleCrop>false</ScaleCrop>
  <LinksUpToDate>false</LinksUpToDate>
  <CharactersWithSpaces>97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2023-03-31T07:33:00Z</dcterms:created>
  <dc:creator>Jiang Ying</dc:creator>
  <cp:lastModifiedBy>王雅琼</cp:lastModifiedBy>
  <dcterms:modified xsi:type="dcterms:W3CDTF">2026-03-07T07:37:18Z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eyJoZGlkIjoiYWQyOTI2MTNlNjM4NmVjYzkxMGIzMzUyM2Y0NWI0YTEiLCJ1c2VySWQiOiIzMTY2ODQ0OTQifQ==</vt:lpwstr>
  </property>
  <property fmtid="{D5CDD505-2E9C-101B-9397-08002B2CF9AE}" pid="3" name="KSOProductBuildVer">
    <vt:lpwstr>2052-12.1.0.25225</vt:lpwstr>
  </property>
  <property fmtid="{D5CDD505-2E9C-101B-9397-08002B2CF9AE}" pid="4" name="ICV">
    <vt:lpwstr>3842155F446A4A7DA5B61A83F6B20DF4_13</vt:lpwstr>
  </property>
</Properties>
</file>