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16C7B">
      <w:pPr>
        <w:jc w:val="center"/>
        <w:rPr>
          <w:rFonts w:ascii="仿宋" w:hAnsi="仿宋" w:eastAsia="仿宋"/>
          <w:b/>
          <w:bCs/>
          <w:sz w:val="30"/>
          <w:szCs w:val="30"/>
        </w:rPr>
      </w:pPr>
      <w:r>
        <w:rPr>
          <w:rFonts w:hint="eastAsia" w:ascii="仿宋" w:hAnsi="仿宋" w:eastAsia="仿宋"/>
          <w:b/>
          <w:bCs/>
          <w:sz w:val="30"/>
          <w:szCs w:val="30"/>
        </w:rPr>
        <w:t>化工学院研究生导师简介</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171"/>
        <w:gridCol w:w="1161"/>
        <w:gridCol w:w="419"/>
        <w:gridCol w:w="387"/>
        <w:gridCol w:w="1008"/>
        <w:gridCol w:w="1323"/>
        <w:gridCol w:w="2151"/>
      </w:tblGrid>
      <w:tr w14:paraId="1D88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vAlign w:val="center"/>
          </w:tcPr>
          <w:p w14:paraId="35876DA9">
            <w:pPr>
              <w:snapToGrid w:val="0"/>
              <w:jc w:val="center"/>
              <w:rPr>
                <w:rFonts w:ascii="仿宋" w:hAnsi="仿宋" w:eastAsia="仿宋" w:cs="Arial"/>
                <w:b/>
                <w:bCs/>
                <w:sz w:val="24"/>
                <w:szCs w:val="24"/>
              </w:rPr>
            </w:pPr>
            <w:r>
              <w:rPr>
                <w:rFonts w:ascii="仿宋" w:hAnsi="仿宋" w:eastAsia="仿宋" w:cs="Arial"/>
                <w:b/>
                <w:bCs/>
                <w:sz w:val="24"/>
                <w:szCs w:val="24"/>
              </w:rPr>
              <w:t>姓名</w:t>
            </w:r>
          </w:p>
        </w:tc>
        <w:tc>
          <w:tcPr>
            <w:tcW w:w="687" w:type="pct"/>
            <w:vAlign w:val="center"/>
          </w:tcPr>
          <w:p w14:paraId="2786AF88">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朵兴红</w:t>
            </w:r>
          </w:p>
        </w:tc>
        <w:tc>
          <w:tcPr>
            <w:tcW w:w="681" w:type="pct"/>
            <w:vAlign w:val="center"/>
          </w:tcPr>
          <w:p w14:paraId="7508C4A7">
            <w:pPr>
              <w:snapToGrid w:val="0"/>
              <w:jc w:val="center"/>
              <w:rPr>
                <w:rFonts w:ascii="仿宋" w:hAnsi="仿宋" w:eastAsia="仿宋" w:cs="Arial"/>
                <w:b/>
                <w:bCs/>
                <w:sz w:val="24"/>
                <w:szCs w:val="24"/>
              </w:rPr>
            </w:pPr>
            <w:r>
              <w:rPr>
                <w:rFonts w:ascii="仿宋" w:hAnsi="仿宋" w:eastAsia="仿宋" w:cs="Arial"/>
                <w:b/>
                <w:bCs/>
                <w:sz w:val="24"/>
                <w:szCs w:val="24"/>
              </w:rPr>
              <w:t>性别</w:t>
            </w:r>
          </w:p>
        </w:tc>
        <w:tc>
          <w:tcPr>
            <w:tcW w:w="472" w:type="pct"/>
            <w:gridSpan w:val="2"/>
            <w:vAlign w:val="center"/>
          </w:tcPr>
          <w:p w14:paraId="6C6D291C">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女</w:t>
            </w:r>
          </w:p>
        </w:tc>
        <w:tc>
          <w:tcPr>
            <w:tcW w:w="590" w:type="pct"/>
            <w:vAlign w:val="center"/>
          </w:tcPr>
          <w:p w14:paraId="32CF0D7C">
            <w:pPr>
              <w:snapToGrid w:val="0"/>
              <w:jc w:val="center"/>
              <w:rPr>
                <w:rFonts w:ascii="仿宋" w:hAnsi="仿宋" w:eastAsia="仿宋" w:cs="Arial"/>
                <w:b/>
                <w:bCs/>
                <w:sz w:val="24"/>
                <w:szCs w:val="24"/>
              </w:rPr>
            </w:pPr>
            <w:r>
              <w:rPr>
                <w:rFonts w:ascii="仿宋" w:hAnsi="仿宋" w:eastAsia="仿宋" w:cs="Arial"/>
                <w:b/>
                <w:bCs/>
                <w:sz w:val="24"/>
                <w:szCs w:val="24"/>
              </w:rPr>
              <w:t>出生年月</w:t>
            </w:r>
          </w:p>
        </w:tc>
        <w:tc>
          <w:tcPr>
            <w:tcW w:w="776" w:type="pct"/>
            <w:vAlign w:val="center"/>
          </w:tcPr>
          <w:p w14:paraId="4C4520B1">
            <w:pPr>
              <w:snapToGrid w:val="0"/>
              <w:jc w:val="center"/>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1980年2月</w:t>
            </w:r>
          </w:p>
        </w:tc>
        <w:tc>
          <w:tcPr>
            <w:tcW w:w="1262" w:type="pct"/>
            <w:vMerge w:val="restart"/>
            <w:vAlign w:val="center"/>
          </w:tcPr>
          <w:p w14:paraId="13040D8E">
            <w:pPr>
              <w:snapToGrid w:val="0"/>
              <w:jc w:val="center"/>
              <w:rPr>
                <w:rFonts w:ascii="仿宋" w:hAnsi="仿宋" w:eastAsia="仿宋" w:cs="Arial"/>
                <w:b/>
                <w:bCs/>
                <w:sz w:val="24"/>
                <w:szCs w:val="24"/>
              </w:rPr>
            </w:pPr>
            <w:r>
              <w:rPr>
                <w:rFonts w:hint="eastAsia" w:ascii="宋体" w:hAnsi="宋体" w:cs="宋体"/>
                <w:szCs w:val="21"/>
              </w:rPr>
              <w:drawing>
                <wp:inline distT="0" distB="0" distL="114300" distR="114300">
                  <wp:extent cx="869315" cy="1158240"/>
                  <wp:effectExtent l="0" t="0" r="6985" b="3810"/>
                  <wp:docPr id="3" name="图片 3" descr="朵兴红 博士生导师，教授，从事催化及阻燃材料开发及应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朵兴红 博士生导师，教授，从事催化及阻燃材料开发及应用"/>
                          <pic:cNvPicPr>
                            <a:picLocks noChangeAspect="1"/>
                          </pic:cNvPicPr>
                        </pic:nvPicPr>
                        <pic:blipFill>
                          <a:blip r:embed="rId4"/>
                          <a:stretch>
                            <a:fillRect/>
                          </a:stretch>
                        </pic:blipFill>
                        <pic:spPr>
                          <a:xfrm>
                            <a:off x="0" y="0"/>
                            <a:ext cx="869315" cy="1158240"/>
                          </a:xfrm>
                          <a:prstGeom prst="rect">
                            <a:avLst/>
                          </a:prstGeom>
                        </pic:spPr>
                      </pic:pic>
                    </a:graphicData>
                  </a:graphic>
                </wp:inline>
              </w:drawing>
            </w:r>
            <w:r>
              <w:rPr>
                <w:rFonts w:hint="eastAsia" w:ascii="宋体" w:hAnsi="宋体" w:cs="宋体"/>
                <w:szCs w:val="21"/>
              </w:rPr>
              <w:drawing>
                <wp:anchor distT="0" distB="0" distL="114300" distR="114300" simplePos="0" relativeHeight="251660288" behindDoc="0" locked="0" layoutInCell="1" allowOverlap="1">
                  <wp:simplePos x="0" y="0"/>
                  <wp:positionH relativeFrom="column">
                    <wp:posOffset>6029325</wp:posOffset>
                  </wp:positionH>
                  <wp:positionV relativeFrom="paragraph">
                    <wp:posOffset>1556385</wp:posOffset>
                  </wp:positionV>
                  <wp:extent cx="1106170" cy="1424940"/>
                  <wp:effectExtent l="0" t="0" r="17780" b="3810"/>
                  <wp:wrapNone/>
                  <wp:docPr id="2" name="图片 3" descr="WechatIM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WechatIMG14"/>
                          <pic:cNvPicPr>
                            <a:picLocks noChangeAspect="1"/>
                          </pic:cNvPicPr>
                        </pic:nvPicPr>
                        <pic:blipFill>
                          <a:blip r:embed="rId5"/>
                          <a:stretch>
                            <a:fillRect/>
                          </a:stretch>
                        </pic:blipFill>
                        <pic:spPr>
                          <a:xfrm>
                            <a:off x="0" y="0"/>
                            <a:ext cx="1106170" cy="1424940"/>
                          </a:xfrm>
                          <a:prstGeom prst="rect">
                            <a:avLst/>
                          </a:prstGeom>
                          <a:noFill/>
                          <a:ln>
                            <a:noFill/>
                          </a:ln>
                        </pic:spPr>
                      </pic:pic>
                    </a:graphicData>
                  </a:graphic>
                </wp:anchor>
              </w:drawing>
            </w:r>
            <w:r>
              <w:rPr>
                <w:rFonts w:hint="eastAsia" w:ascii="宋体" w:hAnsi="宋体" w:cs="宋体"/>
                <w:szCs w:val="21"/>
              </w:rPr>
              <w:drawing>
                <wp:anchor distT="0" distB="0" distL="114300" distR="114300" simplePos="0" relativeHeight="251659264" behindDoc="0" locked="0" layoutInCell="1" allowOverlap="1">
                  <wp:simplePos x="0" y="0"/>
                  <wp:positionH relativeFrom="column">
                    <wp:posOffset>5876925</wp:posOffset>
                  </wp:positionH>
                  <wp:positionV relativeFrom="paragraph">
                    <wp:posOffset>1403985</wp:posOffset>
                  </wp:positionV>
                  <wp:extent cx="1106170" cy="1424940"/>
                  <wp:effectExtent l="0" t="0" r="17780" b="3810"/>
                  <wp:wrapNone/>
                  <wp:docPr id="1" name="图片 2" descr="WechatIM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WechatIMG14"/>
                          <pic:cNvPicPr>
                            <a:picLocks noChangeAspect="1"/>
                          </pic:cNvPicPr>
                        </pic:nvPicPr>
                        <pic:blipFill>
                          <a:blip r:embed="rId5"/>
                          <a:stretch>
                            <a:fillRect/>
                          </a:stretch>
                        </pic:blipFill>
                        <pic:spPr>
                          <a:xfrm>
                            <a:off x="0" y="0"/>
                            <a:ext cx="1106170" cy="1424940"/>
                          </a:xfrm>
                          <a:prstGeom prst="rect">
                            <a:avLst/>
                          </a:prstGeom>
                          <a:noFill/>
                          <a:ln>
                            <a:noFill/>
                          </a:ln>
                        </pic:spPr>
                      </pic:pic>
                    </a:graphicData>
                  </a:graphic>
                </wp:anchor>
              </w:drawing>
            </w:r>
          </w:p>
        </w:tc>
      </w:tr>
      <w:tr w14:paraId="17A5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vAlign w:val="center"/>
          </w:tcPr>
          <w:p w14:paraId="222B4792">
            <w:pPr>
              <w:snapToGrid w:val="0"/>
              <w:jc w:val="center"/>
              <w:rPr>
                <w:rFonts w:ascii="仿宋" w:hAnsi="仿宋" w:eastAsia="仿宋" w:cs="Arial"/>
                <w:b/>
                <w:bCs/>
                <w:sz w:val="24"/>
                <w:szCs w:val="24"/>
              </w:rPr>
            </w:pPr>
            <w:r>
              <w:rPr>
                <w:rFonts w:ascii="仿宋" w:hAnsi="仿宋" w:eastAsia="仿宋" w:cs="Arial"/>
                <w:b/>
                <w:bCs/>
                <w:sz w:val="24"/>
                <w:szCs w:val="24"/>
              </w:rPr>
              <w:t>最高学历</w:t>
            </w:r>
          </w:p>
        </w:tc>
        <w:tc>
          <w:tcPr>
            <w:tcW w:w="687" w:type="pct"/>
            <w:vAlign w:val="center"/>
          </w:tcPr>
          <w:p w14:paraId="71657099">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研究生</w:t>
            </w:r>
          </w:p>
        </w:tc>
        <w:tc>
          <w:tcPr>
            <w:tcW w:w="681" w:type="pct"/>
            <w:vAlign w:val="center"/>
          </w:tcPr>
          <w:p w14:paraId="5B9D7F23">
            <w:pPr>
              <w:snapToGrid w:val="0"/>
              <w:rPr>
                <w:rFonts w:ascii="仿宋" w:hAnsi="仿宋" w:eastAsia="仿宋" w:cs="Arial"/>
                <w:b/>
                <w:bCs/>
                <w:sz w:val="24"/>
                <w:szCs w:val="24"/>
              </w:rPr>
            </w:pPr>
            <w:r>
              <w:rPr>
                <w:rFonts w:ascii="仿宋" w:hAnsi="仿宋" w:eastAsia="仿宋" w:cs="Arial"/>
                <w:b/>
                <w:bCs/>
                <w:sz w:val="24"/>
                <w:szCs w:val="24"/>
              </w:rPr>
              <w:t>最高学位</w:t>
            </w:r>
          </w:p>
        </w:tc>
        <w:tc>
          <w:tcPr>
            <w:tcW w:w="472" w:type="pct"/>
            <w:gridSpan w:val="2"/>
            <w:vAlign w:val="center"/>
          </w:tcPr>
          <w:p w14:paraId="44234EBC">
            <w:pPr>
              <w:snapToGrid w:val="0"/>
              <w:jc w:val="center"/>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博士</w:t>
            </w:r>
          </w:p>
        </w:tc>
        <w:tc>
          <w:tcPr>
            <w:tcW w:w="590" w:type="pct"/>
            <w:vAlign w:val="center"/>
          </w:tcPr>
          <w:p w14:paraId="19906727">
            <w:pPr>
              <w:snapToGrid w:val="0"/>
              <w:jc w:val="center"/>
              <w:rPr>
                <w:rFonts w:ascii="仿宋" w:hAnsi="仿宋" w:eastAsia="仿宋" w:cs="Arial"/>
                <w:b/>
                <w:bCs/>
                <w:sz w:val="24"/>
                <w:szCs w:val="24"/>
              </w:rPr>
            </w:pPr>
            <w:r>
              <w:rPr>
                <w:rFonts w:ascii="仿宋" w:hAnsi="仿宋" w:eastAsia="仿宋" w:cs="Arial"/>
                <w:b/>
                <w:bCs/>
                <w:sz w:val="24"/>
                <w:szCs w:val="24"/>
              </w:rPr>
              <w:t>学位类别</w:t>
            </w:r>
          </w:p>
        </w:tc>
        <w:tc>
          <w:tcPr>
            <w:tcW w:w="776" w:type="pct"/>
            <w:vAlign w:val="center"/>
          </w:tcPr>
          <w:p w14:paraId="53D20960">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工学</w:t>
            </w:r>
          </w:p>
        </w:tc>
        <w:tc>
          <w:tcPr>
            <w:tcW w:w="1262" w:type="pct"/>
            <w:vMerge w:val="continue"/>
            <w:vAlign w:val="center"/>
          </w:tcPr>
          <w:p w14:paraId="3BBE8948">
            <w:pPr>
              <w:snapToGrid w:val="0"/>
              <w:jc w:val="center"/>
              <w:rPr>
                <w:rFonts w:ascii="仿宋" w:hAnsi="仿宋" w:eastAsia="仿宋" w:cs="Arial"/>
                <w:b/>
                <w:bCs/>
                <w:sz w:val="24"/>
                <w:szCs w:val="24"/>
              </w:rPr>
            </w:pPr>
          </w:p>
        </w:tc>
      </w:tr>
      <w:tr w14:paraId="37FC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vAlign w:val="center"/>
          </w:tcPr>
          <w:p w14:paraId="407D4784">
            <w:pPr>
              <w:snapToGrid w:val="0"/>
              <w:jc w:val="center"/>
              <w:rPr>
                <w:rFonts w:ascii="仿宋" w:hAnsi="仿宋" w:eastAsia="仿宋" w:cs="Arial"/>
                <w:b/>
                <w:bCs/>
                <w:sz w:val="24"/>
                <w:szCs w:val="24"/>
              </w:rPr>
            </w:pPr>
            <w:r>
              <w:rPr>
                <w:rFonts w:ascii="仿宋" w:hAnsi="仿宋" w:eastAsia="仿宋" w:cs="Arial"/>
                <w:b/>
                <w:bCs/>
                <w:sz w:val="24"/>
                <w:szCs w:val="24"/>
              </w:rPr>
              <w:t>工作单位</w:t>
            </w:r>
          </w:p>
        </w:tc>
        <w:tc>
          <w:tcPr>
            <w:tcW w:w="1841" w:type="pct"/>
            <w:gridSpan w:val="4"/>
            <w:vAlign w:val="center"/>
          </w:tcPr>
          <w:p w14:paraId="45B6D4F9">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青海民族大学</w:t>
            </w:r>
          </w:p>
        </w:tc>
        <w:tc>
          <w:tcPr>
            <w:tcW w:w="590" w:type="pct"/>
            <w:vAlign w:val="center"/>
          </w:tcPr>
          <w:p w14:paraId="121532B8">
            <w:pPr>
              <w:snapToGrid w:val="0"/>
              <w:jc w:val="center"/>
              <w:rPr>
                <w:rFonts w:ascii="仿宋" w:hAnsi="仿宋" w:eastAsia="仿宋" w:cs="Arial"/>
                <w:b/>
                <w:bCs/>
                <w:sz w:val="24"/>
                <w:szCs w:val="24"/>
              </w:rPr>
            </w:pPr>
            <w:r>
              <w:rPr>
                <w:rFonts w:ascii="仿宋" w:hAnsi="仿宋" w:eastAsia="仿宋" w:cs="Arial"/>
                <w:b/>
                <w:bCs/>
                <w:sz w:val="24"/>
                <w:szCs w:val="24"/>
              </w:rPr>
              <w:t>技术职称</w:t>
            </w:r>
          </w:p>
        </w:tc>
        <w:tc>
          <w:tcPr>
            <w:tcW w:w="776" w:type="pct"/>
            <w:vAlign w:val="center"/>
          </w:tcPr>
          <w:p w14:paraId="524783A6">
            <w:pPr>
              <w:snapToGrid w:val="0"/>
              <w:jc w:val="center"/>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教授</w:t>
            </w:r>
          </w:p>
        </w:tc>
        <w:tc>
          <w:tcPr>
            <w:tcW w:w="1262" w:type="pct"/>
            <w:vMerge w:val="continue"/>
            <w:vAlign w:val="center"/>
          </w:tcPr>
          <w:p w14:paraId="1C926A19">
            <w:pPr>
              <w:snapToGrid w:val="0"/>
              <w:jc w:val="center"/>
              <w:rPr>
                <w:rFonts w:ascii="仿宋" w:hAnsi="仿宋" w:eastAsia="仿宋" w:cs="Arial"/>
                <w:b/>
                <w:bCs/>
                <w:sz w:val="24"/>
                <w:szCs w:val="24"/>
              </w:rPr>
            </w:pPr>
          </w:p>
        </w:tc>
      </w:tr>
      <w:tr w14:paraId="72AA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vMerge w:val="restart"/>
            <w:vAlign w:val="center"/>
          </w:tcPr>
          <w:p w14:paraId="7FD15183">
            <w:pPr>
              <w:snapToGrid w:val="0"/>
              <w:jc w:val="center"/>
              <w:rPr>
                <w:rFonts w:ascii="仿宋" w:hAnsi="仿宋" w:eastAsia="仿宋" w:cs="Arial"/>
                <w:b/>
                <w:bCs/>
                <w:sz w:val="24"/>
                <w:szCs w:val="24"/>
              </w:rPr>
            </w:pPr>
            <w:r>
              <w:rPr>
                <w:rFonts w:ascii="仿宋" w:hAnsi="仿宋" w:eastAsia="仿宋" w:cs="Arial"/>
                <w:b/>
                <w:bCs/>
                <w:sz w:val="24"/>
                <w:szCs w:val="24"/>
              </w:rPr>
              <w:t>所在学科专业</w:t>
            </w:r>
          </w:p>
        </w:tc>
        <w:tc>
          <w:tcPr>
            <w:tcW w:w="687" w:type="pct"/>
            <w:vAlign w:val="center"/>
          </w:tcPr>
          <w:p w14:paraId="20C696DC">
            <w:pPr>
              <w:snapToGrid w:val="0"/>
              <w:jc w:val="center"/>
              <w:rPr>
                <w:rFonts w:ascii="仿宋" w:hAnsi="仿宋" w:eastAsia="仿宋" w:cs="Arial"/>
                <w:b/>
                <w:bCs/>
                <w:sz w:val="24"/>
                <w:szCs w:val="24"/>
              </w:rPr>
            </w:pPr>
            <w:r>
              <w:rPr>
                <w:rFonts w:ascii="仿宋" w:hAnsi="仿宋" w:eastAsia="仿宋" w:cs="Arial"/>
                <w:b/>
                <w:bCs/>
                <w:sz w:val="24"/>
                <w:szCs w:val="24"/>
              </w:rPr>
              <w:t>学科类别代码</w:t>
            </w:r>
          </w:p>
        </w:tc>
        <w:tc>
          <w:tcPr>
            <w:tcW w:w="927" w:type="pct"/>
            <w:gridSpan w:val="2"/>
            <w:vAlign w:val="center"/>
          </w:tcPr>
          <w:p w14:paraId="7D9627F8">
            <w:pPr>
              <w:snapToGrid w:val="0"/>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081704</w:t>
            </w:r>
          </w:p>
        </w:tc>
        <w:tc>
          <w:tcPr>
            <w:tcW w:w="817" w:type="pct"/>
            <w:gridSpan w:val="2"/>
            <w:vAlign w:val="center"/>
          </w:tcPr>
          <w:p w14:paraId="7F2B801C">
            <w:pPr>
              <w:snapToGrid w:val="0"/>
              <w:jc w:val="center"/>
              <w:rPr>
                <w:rFonts w:ascii="仿宋" w:hAnsi="仿宋" w:eastAsia="仿宋" w:cs="Arial"/>
                <w:b/>
                <w:bCs/>
                <w:sz w:val="24"/>
                <w:szCs w:val="24"/>
              </w:rPr>
            </w:pPr>
            <w:r>
              <w:rPr>
                <w:rFonts w:ascii="仿宋" w:hAnsi="仿宋" w:eastAsia="仿宋" w:cs="Arial"/>
                <w:b/>
                <w:bCs/>
                <w:sz w:val="24"/>
                <w:szCs w:val="24"/>
              </w:rPr>
              <w:t>学科类别名称</w:t>
            </w:r>
          </w:p>
        </w:tc>
        <w:tc>
          <w:tcPr>
            <w:tcW w:w="2038" w:type="pct"/>
            <w:gridSpan w:val="2"/>
            <w:vAlign w:val="center"/>
          </w:tcPr>
          <w:p w14:paraId="42DEA69C">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应用化学</w:t>
            </w:r>
          </w:p>
        </w:tc>
      </w:tr>
      <w:tr w14:paraId="73CC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vMerge w:val="continue"/>
            <w:vAlign w:val="center"/>
          </w:tcPr>
          <w:p w14:paraId="14D64929">
            <w:pPr>
              <w:snapToGrid w:val="0"/>
              <w:jc w:val="center"/>
              <w:rPr>
                <w:rFonts w:ascii="仿宋" w:hAnsi="仿宋" w:eastAsia="仿宋" w:cs="Arial"/>
                <w:b/>
                <w:bCs/>
                <w:sz w:val="24"/>
                <w:szCs w:val="24"/>
              </w:rPr>
            </w:pPr>
          </w:p>
        </w:tc>
        <w:tc>
          <w:tcPr>
            <w:tcW w:w="687" w:type="pct"/>
            <w:vAlign w:val="center"/>
          </w:tcPr>
          <w:p w14:paraId="43E2DA4A">
            <w:pPr>
              <w:snapToGrid w:val="0"/>
              <w:jc w:val="center"/>
              <w:rPr>
                <w:rFonts w:ascii="仿宋" w:hAnsi="仿宋" w:eastAsia="仿宋" w:cs="Arial"/>
                <w:b/>
                <w:bCs/>
                <w:sz w:val="24"/>
                <w:szCs w:val="24"/>
              </w:rPr>
            </w:pPr>
            <w:r>
              <w:rPr>
                <w:rFonts w:ascii="仿宋" w:hAnsi="仿宋" w:eastAsia="仿宋" w:cs="Arial"/>
                <w:b/>
                <w:bCs/>
                <w:sz w:val="24"/>
                <w:szCs w:val="24"/>
              </w:rPr>
              <w:t>学科领域代码</w:t>
            </w:r>
          </w:p>
        </w:tc>
        <w:tc>
          <w:tcPr>
            <w:tcW w:w="927" w:type="pct"/>
            <w:gridSpan w:val="2"/>
            <w:vAlign w:val="center"/>
          </w:tcPr>
          <w:p w14:paraId="70DD123C">
            <w:pPr>
              <w:snapToGrid w:val="0"/>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085600</w:t>
            </w:r>
          </w:p>
        </w:tc>
        <w:tc>
          <w:tcPr>
            <w:tcW w:w="817" w:type="pct"/>
            <w:gridSpan w:val="2"/>
            <w:vAlign w:val="center"/>
          </w:tcPr>
          <w:p w14:paraId="769B6554">
            <w:pPr>
              <w:snapToGrid w:val="0"/>
              <w:jc w:val="center"/>
              <w:rPr>
                <w:rFonts w:ascii="仿宋" w:hAnsi="仿宋" w:eastAsia="仿宋" w:cs="Arial"/>
                <w:b/>
                <w:bCs/>
                <w:sz w:val="24"/>
                <w:szCs w:val="24"/>
              </w:rPr>
            </w:pPr>
            <w:r>
              <w:rPr>
                <w:rFonts w:ascii="仿宋" w:hAnsi="仿宋" w:eastAsia="仿宋" w:cs="Arial"/>
                <w:b/>
                <w:bCs/>
                <w:sz w:val="24"/>
                <w:szCs w:val="24"/>
              </w:rPr>
              <w:t>学科领域名称</w:t>
            </w:r>
          </w:p>
        </w:tc>
        <w:tc>
          <w:tcPr>
            <w:tcW w:w="2038" w:type="pct"/>
            <w:gridSpan w:val="2"/>
            <w:vAlign w:val="center"/>
          </w:tcPr>
          <w:p w14:paraId="428B446C">
            <w:pPr>
              <w:snapToGrid w:val="0"/>
              <w:jc w:val="center"/>
              <w:rPr>
                <w:rFonts w:hint="eastAsia" w:ascii="仿宋" w:hAnsi="仿宋" w:eastAsia="仿宋" w:cs="Arial"/>
                <w:b/>
                <w:bCs/>
                <w:sz w:val="24"/>
                <w:szCs w:val="24"/>
                <w:lang w:val="en-US" w:eastAsia="zh-CN"/>
              </w:rPr>
            </w:pPr>
            <w:r>
              <w:rPr>
                <w:rFonts w:hint="eastAsia" w:ascii="仿宋" w:hAnsi="仿宋" w:eastAsia="仿宋" w:cs="Arial"/>
                <w:b/>
                <w:bCs/>
                <w:sz w:val="24"/>
                <w:szCs w:val="24"/>
                <w:lang w:val="en-US" w:eastAsia="zh-CN"/>
              </w:rPr>
              <w:t>材料与化工</w:t>
            </w:r>
          </w:p>
        </w:tc>
      </w:tr>
      <w:tr w14:paraId="1DA9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vAlign w:val="center"/>
          </w:tcPr>
          <w:p w14:paraId="0F536107">
            <w:pPr>
              <w:snapToGrid w:val="0"/>
              <w:jc w:val="center"/>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联系方式</w:t>
            </w:r>
          </w:p>
        </w:tc>
        <w:tc>
          <w:tcPr>
            <w:tcW w:w="4470" w:type="pct"/>
            <w:gridSpan w:val="7"/>
            <w:vAlign w:val="center"/>
          </w:tcPr>
          <w:p w14:paraId="1D493CAB">
            <w:pPr>
              <w:snapToGrid w:val="0"/>
              <w:ind w:firstLine="241" w:firstLineChars="100"/>
              <w:jc w:val="both"/>
              <w:rPr>
                <w:rFonts w:hint="default" w:ascii="仿宋" w:hAnsi="仿宋" w:eastAsia="仿宋" w:cs="Arial"/>
                <w:b/>
                <w:bCs/>
                <w:sz w:val="24"/>
                <w:szCs w:val="24"/>
                <w:lang w:val="en-US" w:eastAsia="zh-CN"/>
              </w:rPr>
            </w:pPr>
            <w:r>
              <w:rPr>
                <w:rFonts w:hint="eastAsia" w:ascii="仿宋" w:hAnsi="仿宋" w:eastAsia="仿宋" w:cs="Arial"/>
                <w:b/>
                <w:bCs/>
                <w:sz w:val="24"/>
                <w:szCs w:val="24"/>
                <w:lang w:val="en-US" w:eastAsia="zh-CN"/>
              </w:rPr>
              <w:t>wlkdxh@tju.edu.cn   13997312106</w:t>
            </w:r>
            <w:bookmarkStart w:id="0" w:name="_GoBack"/>
            <w:bookmarkEnd w:id="0"/>
          </w:p>
        </w:tc>
      </w:tr>
      <w:tr w14:paraId="2A0D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textDirection w:val="tbRlV"/>
            <w:vAlign w:val="center"/>
          </w:tcPr>
          <w:p w14:paraId="7DE00EB9">
            <w:pPr>
              <w:snapToGrid w:val="0"/>
              <w:ind w:left="113" w:right="113"/>
              <w:jc w:val="center"/>
              <w:rPr>
                <w:rFonts w:ascii="仿宋" w:hAnsi="仿宋" w:eastAsia="仿宋" w:cs="Arial"/>
                <w:b/>
                <w:bCs/>
                <w:sz w:val="24"/>
                <w:szCs w:val="24"/>
              </w:rPr>
            </w:pPr>
            <w:r>
              <w:rPr>
                <w:rFonts w:ascii="仿宋" w:hAnsi="仿宋" w:eastAsia="仿宋" w:cs="Arial"/>
                <w:b/>
                <w:bCs/>
                <w:sz w:val="24"/>
                <w:szCs w:val="24"/>
              </w:rPr>
              <w:t>个人简历</w:t>
            </w:r>
          </w:p>
        </w:tc>
        <w:tc>
          <w:tcPr>
            <w:tcW w:w="4470" w:type="pct"/>
            <w:gridSpan w:val="7"/>
            <w:vAlign w:val="center"/>
          </w:tcPr>
          <w:p w14:paraId="78E0FD75">
            <w:pPr>
              <w:snapToGrid w:val="0"/>
              <w:spacing w:line="360" w:lineRule="auto"/>
              <w:ind w:firstLine="240" w:firstLineChars="100"/>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教育经历</w:t>
            </w:r>
          </w:p>
          <w:p w14:paraId="0CAC42C1">
            <w:pPr>
              <w:snapToGrid w:val="0"/>
              <w:spacing w:line="360" w:lineRule="auto"/>
              <w:ind w:firstLine="240" w:firstLineChars="1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2014/09-2018/06，天津大学，</w:t>
            </w:r>
            <w:r>
              <w:rPr>
                <w:rFonts w:hint="default" w:ascii="Times New Roman" w:hAnsi="Times New Roman" w:eastAsia="仿宋_GB2312" w:cs="Times New Roman"/>
                <w:sz w:val="24"/>
                <w:szCs w:val="24"/>
                <w:lang w:val="en-US" w:eastAsia="zh-CN"/>
              </w:rPr>
              <w:t>应用化学（工）</w:t>
            </w:r>
            <w:r>
              <w:rPr>
                <w:rFonts w:hint="default" w:ascii="Times New Roman" w:hAnsi="Times New Roman" w:eastAsia="仿宋_GB2312" w:cs="Times New Roman"/>
                <w:sz w:val="24"/>
                <w:szCs w:val="24"/>
              </w:rPr>
              <w:t>，博士</w:t>
            </w:r>
          </w:p>
          <w:p w14:paraId="1F874770">
            <w:pPr>
              <w:snapToGrid w:val="0"/>
              <w:spacing w:line="360" w:lineRule="auto"/>
              <w:ind w:firstLine="240" w:firstLineChars="1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2009/03-2011/06，青海民族大学，物理化学，硕士</w:t>
            </w:r>
          </w:p>
          <w:p w14:paraId="10517DEA">
            <w:pPr>
              <w:snapToGrid w:val="0"/>
              <w:spacing w:line="360" w:lineRule="auto"/>
              <w:ind w:firstLine="240" w:firstLineChars="1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1999/09-2003/06，青海民族大学，</w:t>
            </w:r>
            <w:r>
              <w:rPr>
                <w:rFonts w:hint="default" w:ascii="Times New Roman" w:hAnsi="Times New Roman" w:eastAsia="仿宋_GB2312" w:cs="Times New Roman"/>
                <w:sz w:val="24"/>
                <w:szCs w:val="24"/>
                <w:lang w:val="en-US" w:eastAsia="zh-CN"/>
              </w:rPr>
              <w:t>应用化学</w:t>
            </w:r>
            <w:r>
              <w:rPr>
                <w:rFonts w:hint="default" w:ascii="Times New Roman" w:hAnsi="Times New Roman" w:eastAsia="仿宋_GB2312" w:cs="Times New Roman"/>
                <w:sz w:val="24"/>
                <w:szCs w:val="24"/>
              </w:rPr>
              <w:t>，学士</w:t>
            </w:r>
          </w:p>
          <w:p w14:paraId="7B605DD0">
            <w:pPr>
              <w:snapToGrid w:val="0"/>
              <w:spacing w:line="360" w:lineRule="auto"/>
              <w:ind w:firstLine="240" w:firstLineChars="100"/>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sz w:val="24"/>
                <w:szCs w:val="24"/>
                <w:lang w:val="en-US" w:eastAsia="zh-CN"/>
              </w:rPr>
              <w:t>工作</w:t>
            </w:r>
            <w:r>
              <w:rPr>
                <w:rFonts w:hint="eastAsia" w:ascii="Times New Roman" w:hAnsi="Times New Roman" w:eastAsia="仿宋_GB2312" w:cs="Times New Roman"/>
                <w:sz w:val="24"/>
                <w:szCs w:val="24"/>
                <w:lang w:val="en-US" w:eastAsia="zh-CN"/>
              </w:rPr>
              <w:t>经历</w:t>
            </w:r>
            <w:r>
              <w:rPr>
                <w:rFonts w:hint="default" w:ascii="Times New Roman" w:hAnsi="Times New Roman" w:eastAsia="仿宋_GB2312" w:cs="Times New Roman"/>
                <w:color w:val="000000"/>
                <w:kern w:val="0"/>
                <w:sz w:val="24"/>
                <w:szCs w:val="24"/>
                <w:lang w:val="en-US" w:eastAsia="zh-CN" w:bidi="ar"/>
              </w:rPr>
              <w:t xml:space="preserve"> </w:t>
            </w:r>
          </w:p>
          <w:p w14:paraId="44E57CE4">
            <w:pPr>
              <w:snapToGrid w:val="0"/>
              <w:spacing w:line="360" w:lineRule="auto"/>
              <w:ind w:firstLine="240" w:firstLineChars="100"/>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 xml:space="preserve">2005/05 至 今  青海民族大学  </w:t>
            </w:r>
          </w:p>
          <w:p w14:paraId="151E4E64">
            <w:pPr>
              <w:snapToGrid w:val="0"/>
              <w:spacing w:line="360" w:lineRule="auto"/>
              <w:ind w:firstLine="240" w:firstLineChars="100"/>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2003/08 至 2005/04, 青藏铁路公司西宁司机学校</w:t>
            </w:r>
          </w:p>
          <w:p w14:paraId="7F141312">
            <w:pPr>
              <w:snapToGrid w:val="0"/>
              <w:spacing w:line="360" w:lineRule="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 xml:space="preserve">  进修</w:t>
            </w:r>
            <w:r>
              <w:rPr>
                <w:rFonts w:hint="eastAsia" w:ascii="Times New Roman" w:hAnsi="Times New Roman" w:eastAsia="仿宋_GB2312" w:cs="Times New Roman"/>
                <w:color w:val="000000"/>
                <w:kern w:val="0"/>
                <w:sz w:val="24"/>
                <w:szCs w:val="24"/>
                <w:lang w:val="en-US" w:eastAsia="zh-CN" w:bidi="ar"/>
              </w:rPr>
              <w:t>经历</w:t>
            </w:r>
          </w:p>
          <w:p w14:paraId="773BB262">
            <w:pPr>
              <w:snapToGrid w:val="0"/>
              <w:ind w:firstLine="240" w:firstLineChars="100"/>
              <w:jc w:val="both"/>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2013-09至2014-06，天津大学，化工学院</w:t>
            </w:r>
          </w:p>
          <w:p w14:paraId="4AF5E753">
            <w:pPr>
              <w:snapToGrid w:val="0"/>
              <w:ind w:firstLine="240" w:firstLineChars="100"/>
              <w:jc w:val="both"/>
              <w:rPr>
                <w:rFonts w:hint="default" w:ascii="Times New Roman" w:hAnsi="Times New Roman" w:eastAsia="仿宋_GB2312" w:cs="Times New Roman"/>
                <w:color w:val="000000"/>
                <w:kern w:val="0"/>
                <w:sz w:val="24"/>
                <w:szCs w:val="24"/>
                <w:lang w:val="en-US" w:eastAsia="zh-CN" w:bidi="ar"/>
              </w:rPr>
            </w:pPr>
          </w:p>
        </w:tc>
      </w:tr>
      <w:tr w14:paraId="0D29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textDirection w:val="tbRlV"/>
            <w:vAlign w:val="center"/>
          </w:tcPr>
          <w:p w14:paraId="5A6E362B">
            <w:pPr>
              <w:snapToGrid w:val="0"/>
              <w:ind w:left="113" w:right="113"/>
              <w:jc w:val="center"/>
              <w:rPr>
                <w:rFonts w:ascii="仿宋" w:hAnsi="仿宋" w:eastAsia="仿宋" w:cs="Arial"/>
                <w:b/>
                <w:bCs/>
                <w:sz w:val="24"/>
                <w:szCs w:val="24"/>
              </w:rPr>
            </w:pPr>
            <w:r>
              <w:rPr>
                <w:rFonts w:ascii="仿宋" w:hAnsi="仿宋" w:eastAsia="仿宋" w:cs="Arial"/>
                <w:b/>
                <w:bCs/>
                <w:sz w:val="24"/>
                <w:szCs w:val="24"/>
              </w:rPr>
              <w:t>研究内容简介</w:t>
            </w:r>
          </w:p>
        </w:tc>
        <w:tc>
          <w:tcPr>
            <w:tcW w:w="4470" w:type="pct"/>
            <w:gridSpan w:val="7"/>
            <w:vAlign w:val="center"/>
          </w:tcPr>
          <w:p w14:paraId="6048AB83">
            <w:pPr>
              <w:snapToGrid w:val="0"/>
              <w:spacing w:line="360" w:lineRule="auto"/>
              <w:ind w:firstLine="480" w:firstLineChars="200"/>
              <w:jc w:val="left"/>
              <w:rPr>
                <w:rFonts w:hint="default" w:ascii="Times New Roman" w:hAnsi="Times New Roman" w:eastAsia="仿宋_GB2312" w:cs="Times New Roman"/>
                <w:i w:val="0"/>
                <w:iCs w:val="0"/>
                <w:caps w:val="0"/>
                <w:color w:val="323232"/>
                <w:spacing w:val="0"/>
                <w:sz w:val="24"/>
                <w:szCs w:val="24"/>
                <w:shd w:val="clear" w:fill="FFFFFF"/>
                <w:lang w:val="en-US" w:eastAsia="zh-CN"/>
              </w:rPr>
            </w:pPr>
          </w:p>
          <w:p w14:paraId="4D4C8F7B">
            <w:pPr>
              <w:snapToGrid w:val="0"/>
              <w:spacing w:line="360" w:lineRule="auto"/>
              <w:ind w:firstLine="480" w:firstLineChars="200"/>
              <w:jc w:val="left"/>
              <w:rPr>
                <w:rFonts w:hint="default" w:ascii="Times New Roman" w:hAnsi="Times New Roman" w:eastAsia="仿宋_GB2312" w:cs="Times New Roman"/>
                <w:i w:val="0"/>
                <w:iCs w:val="0"/>
                <w:caps w:val="0"/>
                <w:color w:val="323232"/>
                <w:spacing w:val="0"/>
                <w:sz w:val="24"/>
                <w:szCs w:val="24"/>
                <w:shd w:val="clear" w:fill="FFFFFF"/>
              </w:rPr>
            </w:pPr>
            <w:r>
              <w:rPr>
                <w:rFonts w:hint="default" w:ascii="Times New Roman" w:hAnsi="Times New Roman" w:eastAsia="仿宋_GB2312" w:cs="Times New Roman"/>
                <w:i w:val="0"/>
                <w:iCs w:val="0"/>
                <w:caps w:val="0"/>
                <w:color w:val="323232"/>
                <w:spacing w:val="0"/>
                <w:sz w:val="24"/>
                <w:szCs w:val="24"/>
                <w:shd w:val="clear" w:fill="FFFFFF"/>
                <w:lang w:val="en-US" w:eastAsia="zh-CN"/>
              </w:rPr>
              <w:t>朵兴红</w:t>
            </w:r>
            <w:r>
              <w:rPr>
                <w:rFonts w:hint="default" w:ascii="Times New Roman" w:hAnsi="Times New Roman" w:eastAsia="仿宋_GB2312" w:cs="Times New Roman"/>
                <w:i w:val="0"/>
                <w:iCs w:val="0"/>
                <w:caps w:val="0"/>
                <w:color w:val="323232"/>
                <w:spacing w:val="0"/>
                <w:sz w:val="24"/>
                <w:szCs w:val="24"/>
                <w:shd w:val="clear" w:fill="FFFFFF"/>
              </w:rPr>
              <w:t>，中共党员，教授，</w:t>
            </w:r>
            <w:r>
              <w:rPr>
                <w:rFonts w:hint="default" w:ascii="Times New Roman" w:hAnsi="Times New Roman" w:eastAsia="仿宋_GB2312" w:cs="Times New Roman"/>
                <w:i w:val="0"/>
                <w:iCs w:val="0"/>
                <w:caps w:val="0"/>
                <w:color w:val="323232"/>
                <w:spacing w:val="0"/>
                <w:sz w:val="24"/>
                <w:szCs w:val="24"/>
                <w:shd w:val="clear" w:fill="FFFFFF"/>
                <w:lang w:val="en-US" w:eastAsia="zh-CN"/>
              </w:rPr>
              <w:t>博</w:t>
            </w:r>
            <w:r>
              <w:rPr>
                <w:rFonts w:hint="default" w:ascii="Times New Roman" w:hAnsi="Times New Roman" w:eastAsia="仿宋_GB2312" w:cs="Times New Roman"/>
                <w:i w:val="0"/>
                <w:iCs w:val="0"/>
                <w:caps w:val="0"/>
                <w:color w:val="323232"/>
                <w:spacing w:val="0"/>
                <w:sz w:val="24"/>
                <w:szCs w:val="24"/>
                <w:shd w:val="clear" w:fill="FFFFFF"/>
              </w:rPr>
              <w:t>士生导师，</w:t>
            </w:r>
            <w:r>
              <w:rPr>
                <w:rFonts w:hint="eastAsia" w:ascii="Times New Roman" w:hAnsi="Times New Roman" w:eastAsia="仿宋_GB2312" w:cs="Times New Roman"/>
                <w:i w:val="0"/>
                <w:iCs w:val="0"/>
                <w:caps w:val="0"/>
                <w:color w:val="323232"/>
                <w:spacing w:val="0"/>
                <w:sz w:val="24"/>
                <w:szCs w:val="24"/>
                <w:shd w:val="clear" w:fill="FFFFFF"/>
                <w:lang w:val="en-US" w:eastAsia="zh-CN"/>
              </w:rPr>
              <w:t>青藏高原资源化学与生态环境保护国家民委重点实验室负责人，</w:t>
            </w:r>
            <w:r>
              <w:rPr>
                <w:rFonts w:hint="default" w:ascii="Times New Roman" w:hAnsi="Times New Roman" w:eastAsia="仿宋_GB2312" w:cs="Times New Roman"/>
                <w:i w:val="0"/>
                <w:iCs w:val="0"/>
                <w:caps w:val="0"/>
                <w:color w:val="323232"/>
                <w:spacing w:val="0"/>
                <w:sz w:val="24"/>
                <w:szCs w:val="24"/>
                <w:shd w:val="clear" w:fill="FFFFFF"/>
              </w:rPr>
              <w:t>基础化学实验</w:t>
            </w:r>
            <w:r>
              <w:rPr>
                <w:rFonts w:hint="default" w:ascii="Times New Roman" w:hAnsi="Times New Roman" w:eastAsia="仿宋_GB2312" w:cs="Times New Roman"/>
                <w:i w:val="0"/>
                <w:iCs w:val="0"/>
                <w:caps w:val="0"/>
                <w:color w:val="323232"/>
                <w:spacing w:val="0"/>
                <w:sz w:val="24"/>
                <w:szCs w:val="24"/>
                <w:shd w:val="clear" w:fill="FFFFFF"/>
                <w:lang w:val="en-US" w:eastAsia="zh-CN"/>
              </w:rPr>
              <w:t>省级</w:t>
            </w:r>
            <w:r>
              <w:rPr>
                <w:rFonts w:hint="default" w:ascii="Times New Roman" w:hAnsi="Times New Roman" w:eastAsia="仿宋_GB2312" w:cs="Times New Roman"/>
                <w:i w:val="0"/>
                <w:iCs w:val="0"/>
                <w:caps w:val="0"/>
                <w:color w:val="323232"/>
                <w:spacing w:val="0"/>
                <w:sz w:val="24"/>
                <w:szCs w:val="24"/>
                <w:shd w:val="clear" w:fill="FFFFFF"/>
              </w:rPr>
              <w:t>示范中心主任。参与编写《无机及分析化学实验》、《仪器分析》等教材。主要从事功能材料开发及应用基础研究，研究方向为靶向递送可降解生物材料、高性能阻燃材料</w:t>
            </w:r>
            <w:r>
              <w:rPr>
                <w:rFonts w:hint="eastAsia" w:ascii="Times New Roman" w:hAnsi="Times New Roman" w:eastAsia="仿宋_GB2312" w:cs="Times New Roman"/>
                <w:i w:val="0"/>
                <w:iCs w:val="0"/>
                <w:caps w:val="0"/>
                <w:color w:val="323232"/>
                <w:spacing w:val="0"/>
                <w:sz w:val="24"/>
                <w:szCs w:val="24"/>
                <w:shd w:val="clear" w:fill="FFFFFF"/>
                <w:lang w:eastAsia="zh-CN"/>
              </w:rPr>
              <w:t>、</w:t>
            </w:r>
            <w:r>
              <w:rPr>
                <w:rFonts w:hint="eastAsia" w:ascii="Times New Roman" w:hAnsi="Times New Roman" w:eastAsia="仿宋_GB2312" w:cs="Times New Roman"/>
                <w:i w:val="0"/>
                <w:iCs w:val="0"/>
                <w:caps w:val="0"/>
                <w:color w:val="323232"/>
                <w:spacing w:val="0"/>
                <w:sz w:val="24"/>
                <w:szCs w:val="24"/>
                <w:shd w:val="clear" w:fill="FFFFFF"/>
                <w:lang w:val="en-US" w:eastAsia="zh-CN"/>
              </w:rPr>
              <w:t>光催化材料</w:t>
            </w:r>
            <w:r>
              <w:rPr>
                <w:rFonts w:hint="default" w:ascii="Times New Roman" w:hAnsi="Times New Roman" w:eastAsia="仿宋_GB2312" w:cs="Times New Roman"/>
                <w:i w:val="0"/>
                <w:iCs w:val="0"/>
                <w:caps w:val="0"/>
                <w:color w:val="323232"/>
                <w:spacing w:val="0"/>
                <w:sz w:val="24"/>
                <w:szCs w:val="24"/>
                <w:shd w:val="clear" w:fill="FFFFFF"/>
              </w:rPr>
              <w:t xml:space="preserve">等。主持或参与国家级（或省部级、厅局级等）科研项目9项；先后在Journal of Materials Chemistry </w:t>
            </w:r>
            <w:r>
              <w:rPr>
                <w:rFonts w:hint="default" w:ascii="Times New Roman" w:hAnsi="Times New Roman" w:eastAsia="仿宋_GB2312" w:cs="Times New Roman"/>
                <w:i w:val="0"/>
                <w:iCs w:val="0"/>
                <w:caps w:val="0"/>
                <w:color w:val="323232"/>
                <w:spacing w:val="0"/>
                <w:sz w:val="24"/>
                <w:szCs w:val="24"/>
                <w:shd w:val="clear" w:fill="FFFFFF"/>
                <w:lang w:val="en-US" w:eastAsia="zh-CN"/>
              </w:rPr>
              <w:t>A、</w:t>
            </w:r>
            <w:r>
              <w:rPr>
                <w:rFonts w:hint="default" w:ascii="Times New Roman" w:hAnsi="Times New Roman" w:eastAsia="仿宋_GB2312" w:cs="Times New Roman"/>
                <w:i w:val="0"/>
                <w:iCs w:val="0"/>
                <w:caps w:val="0"/>
                <w:color w:val="323232"/>
                <w:spacing w:val="0"/>
                <w:sz w:val="24"/>
                <w:szCs w:val="24"/>
                <w:shd w:val="clear" w:fill="FFFFFF"/>
              </w:rPr>
              <w:t>Journal of Materials Chemistry B、Polymers、langmuir、RSC Advances、Polymers Advanced Technologies等期刊发表学术论文</w:t>
            </w:r>
            <w:r>
              <w:rPr>
                <w:rFonts w:hint="eastAsia" w:ascii="Times New Roman" w:hAnsi="Times New Roman" w:eastAsia="仿宋_GB2312" w:cs="Times New Roman"/>
                <w:i w:val="0"/>
                <w:iCs w:val="0"/>
                <w:caps w:val="0"/>
                <w:color w:val="323232"/>
                <w:spacing w:val="0"/>
                <w:sz w:val="24"/>
                <w:szCs w:val="24"/>
                <w:shd w:val="clear" w:fill="FFFFFF"/>
                <w:lang w:val="en-US" w:eastAsia="zh-CN"/>
              </w:rPr>
              <w:t>4</w:t>
            </w:r>
            <w:r>
              <w:rPr>
                <w:rFonts w:hint="default" w:ascii="Times New Roman" w:hAnsi="Times New Roman" w:eastAsia="仿宋_GB2312" w:cs="Times New Roman"/>
                <w:i w:val="0"/>
                <w:iCs w:val="0"/>
                <w:caps w:val="0"/>
                <w:color w:val="323232"/>
                <w:spacing w:val="0"/>
                <w:sz w:val="24"/>
                <w:szCs w:val="24"/>
                <w:shd w:val="clear" w:fill="FFFFFF"/>
                <w:lang w:val="en-US" w:eastAsia="zh-CN"/>
              </w:rPr>
              <w:t>0</w:t>
            </w:r>
            <w:r>
              <w:rPr>
                <w:rFonts w:hint="default" w:ascii="Times New Roman" w:hAnsi="Times New Roman" w:eastAsia="仿宋_GB2312" w:cs="Times New Roman"/>
                <w:i w:val="0"/>
                <w:iCs w:val="0"/>
                <w:caps w:val="0"/>
                <w:color w:val="323232"/>
                <w:spacing w:val="0"/>
                <w:sz w:val="24"/>
                <w:szCs w:val="24"/>
                <w:shd w:val="clear" w:fill="FFFFFF"/>
              </w:rPr>
              <w:t>余篇，申请专利</w:t>
            </w:r>
            <w:r>
              <w:rPr>
                <w:rFonts w:hint="eastAsia" w:ascii="Times New Roman" w:hAnsi="Times New Roman" w:eastAsia="仿宋_GB2312" w:cs="Times New Roman"/>
                <w:i w:val="0"/>
                <w:iCs w:val="0"/>
                <w:caps w:val="0"/>
                <w:color w:val="323232"/>
                <w:spacing w:val="0"/>
                <w:sz w:val="24"/>
                <w:szCs w:val="24"/>
                <w:shd w:val="clear" w:fill="FFFFFF"/>
                <w:lang w:val="en-US" w:eastAsia="zh-CN"/>
              </w:rPr>
              <w:t>8</w:t>
            </w:r>
            <w:r>
              <w:rPr>
                <w:rFonts w:hint="default" w:ascii="Times New Roman" w:hAnsi="Times New Roman" w:eastAsia="仿宋_GB2312" w:cs="Times New Roman"/>
                <w:i w:val="0"/>
                <w:iCs w:val="0"/>
                <w:caps w:val="0"/>
                <w:color w:val="323232"/>
                <w:spacing w:val="0"/>
                <w:sz w:val="24"/>
                <w:szCs w:val="24"/>
                <w:shd w:val="clear" w:fill="FFFFFF"/>
              </w:rPr>
              <w:t>件，授权</w:t>
            </w:r>
            <w:r>
              <w:rPr>
                <w:rFonts w:hint="eastAsia" w:ascii="Times New Roman" w:hAnsi="Times New Roman" w:eastAsia="仿宋_GB2312" w:cs="Times New Roman"/>
                <w:i w:val="0"/>
                <w:iCs w:val="0"/>
                <w:caps w:val="0"/>
                <w:color w:val="323232"/>
                <w:spacing w:val="0"/>
                <w:sz w:val="24"/>
                <w:szCs w:val="24"/>
                <w:shd w:val="clear" w:fill="FFFFFF"/>
                <w:lang w:val="en-US" w:eastAsia="zh-CN"/>
              </w:rPr>
              <w:t>4</w:t>
            </w:r>
            <w:r>
              <w:rPr>
                <w:rFonts w:hint="default" w:ascii="Times New Roman" w:hAnsi="Times New Roman" w:eastAsia="仿宋_GB2312" w:cs="Times New Roman"/>
                <w:i w:val="0"/>
                <w:iCs w:val="0"/>
                <w:caps w:val="0"/>
                <w:color w:val="323232"/>
                <w:spacing w:val="0"/>
                <w:sz w:val="24"/>
                <w:szCs w:val="24"/>
                <w:shd w:val="clear" w:fill="FFFFFF"/>
              </w:rPr>
              <w:t>件。</w:t>
            </w:r>
          </w:p>
          <w:p w14:paraId="2A05AC2A">
            <w:pPr>
              <w:snapToGrid w:val="0"/>
              <w:spacing w:line="360" w:lineRule="auto"/>
              <w:ind w:firstLine="480" w:firstLineChars="200"/>
              <w:jc w:val="left"/>
              <w:rPr>
                <w:rFonts w:hint="default" w:ascii="Times New Roman" w:hAnsi="Times New Roman" w:eastAsia="仿宋_GB2312" w:cs="Times New Roman"/>
                <w:i w:val="0"/>
                <w:iCs w:val="0"/>
                <w:caps w:val="0"/>
                <w:color w:val="323232"/>
                <w:spacing w:val="0"/>
                <w:sz w:val="24"/>
                <w:szCs w:val="24"/>
                <w:shd w:val="clear" w:fill="FFFFFF"/>
              </w:rPr>
            </w:pPr>
          </w:p>
        </w:tc>
      </w:tr>
      <w:tr w14:paraId="1C3E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textDirection w:val="tbRlV"/>
            <w:vAlign w:val="center"/>
          </w:tcPr>
          <w:p w14:paraId="06888054">
            <w:pPr>
              <w:snapToGrid w:val="0"/>
              <w:ind w:left="113" w:right="113"/>
              <w:jc w:val="center"/>
              <w:rPr>
                <w:rFonts w:ascii="仿宋" w:hAnsi="仿宋" w:eastAsia="仿宋" w:cs="Arial"/>
                <w:b/>
                <w:bCs/>
                <w:sz w:val="24"/>
                <w:szCs w:val="24"/>
              </w:rPr>
            </w:pPr>
            <w:r>
              <w:rPr>
                <w:rFonts w:ascii="仿宋" w:hAnsi="仿宋" w:eastAsia="仿宋" w:cs="Arial"/>
                <w:b/>
                <w:bCs/>
                <w:sz w:val="24"/>
                <w:szCs w:val="24"/>
              </w:rPr>
              <w:t>在研科研项目</w:t>
            </w:r>
          </w:p>
        </w:tc>
        <w:tc>
          <w:tcPr>
            <w:tcW w:w="4470" w:type="pct"/>
            <w:gridSpan w:val="7"/>
            <w:shd w:val="clear"/>
            <w:vAlign w:val="center"/>
          </w:tcPr>
          <w:p w14:paraId="63947DA3">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国家自然科学基金</w:t>
            </w:r>
            <w:r>
              <w:rPr>
                <w:rFonts w:hint="default" w:ascii="Times New Roman" w:hAnsi="Times New Roman" w:eastAsia="仿宋_GB2312" w:cs="Times New Roman"/>
                <w:sz w:val="24"/>
                <w:szCs w:val="24"/>
                <w:lang w:eastAsia="zh-CN"/>
              </w:rPr>
              <w:t>地区项目</w:t>
            </w:r>
            <w:r>
              <w:rPr>
                <w:rFonts w:hint="default" w:ascii="Times New Roman" w:hAnsi="Times New Roman" w:eastAsia="仿宋_GB2312" w:cs="Times New Roman"/>
                <w:sz w:val="24"/>
                <w:szCs w:val="24"/>
              </w:rPr>
              <w:t>，51963018，靶向基因递送系统的制备及其促血管内皮增殖的应用研究，40万</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主持</w:t>
            </w:r>
            <w:r>
              <w:rPr>
                <w:rFonts w:hint="default" w:ascii="Times New Roman" w:hAnsi="Times New Roman" w:eastAsia="仿宋_GB2312" w:cs="Times New Roman"/>
                <w:sz w:val="24"/>
                <w:szCs w:val="24"/>
              </w:rPr>
              <w:t>。</w:t>
            </w:r>
          </w:p>
          <w:p w14:paraId="2FAA1B4F">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国家自然科学基金面上项目，51673145，基于POSS的逐级靶向基因递送系统促进血管内皮细胞增殖研究，62万元</w:t>
            </w:r>
            <w:r>
              <w:rPr>
                <w:rFonts w:hint="default" w:ascii="Times New Roman" w:hAnsi="Times New Roman" w:eastAsia="仿宋_GB2312" w:cs="Times New Roman"/>
                <w:sz w:val="24"/>
                <w:szCs w:val="24"/>
                <w:lang w:val="en-US" w:eastAsia="zh-CN"/>
              </w:rPr>
              <w:t>，参与</w:t>
            </w:r>
            <w:r>
              <w:rPr>
                <w:rFonts w:hint="default" w:ascii="Times New Roman" w:hAnsi="Times New Roman" w:eastAsia="仿宋_GB2312" w:cs="Times New Roman"/>
                <w:sz w:val="24"/>
                <w:szCs w:val="24"/>
              </w:rPr>
              <w:t>。</w:t>
            </w:r>
          </w:p>
          <w:p w14:paraId="2E842710">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教育部“春晖计划”项目，Z2015049，可降解微球PLGA-ZNF580复合物靶向基因纳米粒制备及其转染率研究，3万元，主持。</w:t>
            </w:r>
          </w:p>
          <w:p w14:paraId="01041278">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国家自然科学基金面上项目，31370969，靶向性基因纳米粒和多肽修饰纳米纤维人工血管，86万元，</w:t>
            </w:r>
            <w:r>
              <w:rPr>
                <w:rFonts w:hint="default" w:ascii="Times New Roman" w:hAnsi="Times New Roman" w:eastAsia="仿宋_GB2312" w:cs="Times New Roman"/>
                <w:sz w:val="24"/>
                <w:szCs w:val="24"/>
                <w:lang w:val="en-US" w:eastAsia="zh-CN"/>
              </w:rPr>
              <w:t>参与</w:t>
            </w:r>
            <w:r>
              <w:rPr>
                <w:rFonts w:hint="default" w:ascii="Times New Roman" w:hAnsi="Times New Roman" w:eastAsia="仿宋_GB2312" w:cs="Times New Roman"/>
                <w:sz w:val="24"/>
                <w:szCs w:val="24"/>
              </w:rPr>
              <w:t>。</w:t>
            </w:r>
          </w:p>
          <w:p w14:paraId="54F453A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right="0" w:firstLine="360" w:firstLineChars="15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青海省科技厅基础研究项目</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2019-ZJ-7013</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高比容量碳基复合电极材料制备及其电化学性能研究</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结项</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参与</w:t>
            </w:r>
            <w:r>
              <w:rPr>
                <w:rFonts w:hint="default" w:ascii="Times New Roman" w:hAnsi="Times New Roman" w:eastAsia="仿宋_GB2312" w:cs="Times New Roman"/>
                <w:b w:val="0"/>
                <w:bCs/>
                <w:i w:val="0"/>
                <w:iCs/>
                <w:color w:val="auto"/>
                <w:sz w:val="24"/>
                <w:szCs w:val="24"/>
                <w:lang w:val="en-US" w:eastAsia="zh-CN"/>
              </w:rPr>
              <w:t>。</w:t>
            </w:r>
          </w:p>
          <w:p w14:paraId="125BC21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right="0" w:firstLine="120" w:firstLineChars="5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青海民族大学高层次人才项目</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2019XJG01</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碱式氯化镁晶须的制备及其阻燃性的应用研究</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已结项</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主持。</w:t>
            </w:r>
          </w:p>
          <w:p w14:paraId="096F277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right="0" w:firstLine="360" w:firstLineChars="15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b w:val="0"/>
                <w:bCs/>
                <w:i w:val="0"/>
                <w:iCs/>
                <w:color w:val="auto"/>
                <w:sz w:val="24"/>
                <w:szCs w:val="24"/>
                <w:lang w:val="en-US" w:eastAsia="zh-CN"/>
              </w:rPr>
              <w:t>天津大学-青海民族大学自主创新基金合作项目</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30587</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盐湖卤水镁提取高容量吸附剂的开发及其工艺技术的研究</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10万元</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已结项</w:t>
            </w:r>
            <w:r>
              <w:rPr>
                <w:rFonts w:hint="default" w:ascii="Times New Roman" w:hAnsi="Times New Roman" w:eastAsia="仿宋_GB2312" w:cs="Times New Roman"/>
                <w:sz w:val="24"/>
                <w:szCs w:val="24"/>
              </w:rPr>
              <w:t>，</w:t>
            </w:r>
            <w:r>
              <w:rPr>
                <w:rFonts w:hint="default" w:ascii="Times New Roman" w:hAnsi="Times New Roman" w:eastAsia="仿宋_GB2312" w:cs="Times New Roman"/>
                <w:b w:val="0"/>
                <w:bCs/>
                <w:i w:val="0"/>
                <w:iCs/>
                <w:color w:val="auto"/>
                <w:sz w:val="24"/>
                <w:szCs w:val="24"/>
                <w:lang w:val="en-US" w:eastAsia="zh-CN"/>
              </w:rPr>
              <w:t>主持。</w:t>
            </w:r>
          </w:p>
          <w:p w14:paraId="7AEF7734">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天津大学-青海民族大学自主创新基金合作项目，血管内皮细胞靶向多功能基因纳米粒，5万元，结题，主持。</w:t>
            </w:r>
          </w:p>
          <w:p w14:paraId="119D08AE">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天津大学-青海民族大学自主创新基金合作项目，青海省工业铝渣中有害物质的无害化及有用物质回收利用研究，5万元，结题，</w:t>
            </w:r>
            <w:r>
              <w:rPr>
                <w:rFonts w:hint="default" w:ascii="Times New Roman" w:hAnsi="Times New Roman" w:eastAsia="仿宋_GB2312" w:cs="Times New Roman"/>
                <w:sz w:val="24"/>
                <w:szCs w:val="24"/>
                <w:lang w:val="en-US" w:eastAsia="zh-CN"/>
              </w:rPr>
              <w:t>参与</w:t>
            </w:r>
            <w:r>
              <w:rPr>
                <w:rFonts w:hint="default" w:ascii="Times New Roman" w:hAnsi="Times New Roman" w:eastAsia="仿宋_GB2312" w:cs="Times New Roman"/>
                <w:sz w:val="24"/>
                <w:szCs w:val="24"/>
              </w:rPr>
              <w:t>。</w:t>
            </w:r>
          </w:p>
          <w:p w14:paraId="4F317BDC">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青海民族大学校级项目, 2014XJZ12</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基于光谱、色谱法对藏药花锚质量评价体系的建立，1万元，结题，主持。</w:t>
            </w:r>
          </w:p>
          <w:p w14:paraId="44156B56">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天津大学—青海民族大学自主创新基金合作项目，低变质煤和铅锌尾渣清洁、综合利用及循环产业链(磷酸浓缩防结垢技术)，5万元，结题，</w:t>
            </w:r>
            <w:r>
              <w:rPr>
                <w:rFonts w:hint="default" w:ascii="Times New Roman" w:hAnsi="Times New Roman" w:eastAsia="仿宋_GB2312" w:cs="Times New Roman"/>
                <w:sz w:val="24"/>
                <w:szCs w:val="24"/>
                <w:lang w:val="en-US" w:eastAsia="zh-CN"/>
              </w:rPr>
              <w:t>参与</w:t>
            </w:r>
            <w:r>
              <w:rPr>
                <w:rFonts w:hint="default" w:ascii="Times New Roman" w:hAnsi="Times New Roman" w:eastAsia="仿宋_GB2312" w:cs="Times New Roman"/>
                <w:sz w:val="24"/>
                <w:szCs w:val="24"/>
              </w:rPr>
              <w:t>。</w:t>
            </w:r>
          </w:p>
          <w:p w14:paraId="66B7167A">
            <w:pPr>
              <w:snapToGrid w:val="0"/>
              <w:spacing w:line="360" w:lineRule="auto"/>
              <w:ind w:firstLine="32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青海省自然科学基金项目，2012-Z-904，藏药预分离组份库建立及药理活性研究，40万元，结题，</w:t>
            </w:r>
            <w:r>
              <w:rPr>
                <w:rFonts w:hint="default" w:ascii="Times New Roman" w:hAnsi="Times New Roman" w:eastAsia="仿宋_GB2312" w:cs="Times New Roman"/>
                <w:sz w:val="24"/>
                <w:szCs w:val="24"/>
                <w:lang w:val="en-US" w:eastAsia="zh-CN"/>
              </w:rPr>
              <w:t>参与。</w:t>
            </w:r>
          </w:p>
          <w:p w14:paraId="0DAF690E">
            <w:pPr>
              <w:snapToGrid w:val="0"/>
              <w:spacing w:line="360" w:lineRule="auto"/>
              <w:ind w:firstLine="320" w:firstLineChars="0"/>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rPr>
              <w:t>天津大学—青海民族大学自主创新基金合作项目，镁基固态储氢材料的改性研究，5万元，主持</w:t>
            </w:r>
            <w:r>
              <w:rPr>
                <w:rFonts w:hint="default" w:ascii="Times New Roman" w:hAnsi="Times New Roman" w:eastAsia="仿宋_GB2312" w:cs="Times New Roman"/>
                <w:sz w:val="24"/>
                <w:szCs w:val="24"/>
                <w:lang w:val="en-US" w:eastAsia="zh-CN"/>
              </w:rPr>
              <w:t>。</w:t>
            </w:r>
          </w:p>
          <w:p w14:paraId="24E91170">
            <w:pPr>
              <w:snapToGrid w:val="0"/>
              <w:spacing w:line="360" w:lineRule="auto"/>
              <w:ind w:firstLine="320" w:firstLineChars="0"/>
              <w:rPr>
                <w:rFonts w:hint="default" w:ascii="Times New Roman" w:hAnsi="Times New Roman" w:eastAsia="仿宋_GB2312" w:cs="Times New Roman"/>
                <w:sz w:val="24"/>
                <w:szCs w:val="24"/>
                <w:lang w:val="en-US" w:eastAsia="zh-CN"/>
              </w:rPr>
            </w:pPr>
          </w:p>
          <w:p w14:paraId="1CF98D64">
            <w:pPr>
              <w:snapToGrid w:val="0"/>
              <w:spacing w:line="360" w:lineRule="auto"/>
              <w:ind w:firstLine="320" w:firstLineChars="0"/>
              <w:rPr>
                <w:rFonts w:hint="default" w:ascii="Times New Roman" w:hAnsi="Times New Roman" w:eastAsia="仿宋_GB2312" w:cs="Times New Roman"/>
                <w:sz w:val="24"/>
                <w:szCs w:val="24"/>
                <w:lang w:val="en-US" w:eastAsia="zh-CN"/>
              </w:rPr>
            </w:pPr>
          </w:p>
          <w:p w14:paraId="5F13368F">
            <w:pPr>
              <w:snapToGrid w:val="0"/>
              <w:spacing w:line="360" w:lineRule="auto"/>
              <w:ind w:firstLine="320" w:firstLineChars="0"/>
              <w:rPr>
                <w:rFonts w:hint="default" w:ascii="Times New Roman" w:hAnsi="Times New Roman" w:eastAsia="仿宋_GB2312" w:cs="Times New Roman"/>
                <w:sz w:val="24"/>
                <w:szCs w:val="24"/>
                <w:lang w:val="en-US" w:eastAsia="zh-CN"/>
              </w:rPr>
            </w:pPr>
          </w:p>
        </w:tc>
      </w:tr>
      <w:tr w14:paraId="358A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textDirection w:val="tbRlV"/>
            <w:vAlign w:val="center"/>
          </w:tcPr>
          <w:p w14:paraId="7D88BFEB">
            <w:pPr>
              <w:snapToGrid w:val="0"/>
              <w:ind w:left="113" w:right="113"/>
              <w:jc w:val="center"/>
              <w:rPr>
                <w:rFonts w:ascii="仿宋" w:hAnsi="仿宋" w:eastAsia="仿宋" w:cs="Arial"/>
                <w:b/>
                <w:bCs/>
                <w:sz w:val="24"/>
                <w:szCs w:val="24"/>
              </w:rPr>
            </w:pPr>
            <w:r>
              <w:rPr>
                <w:rFonts w:ascii="仿宋" w:hAnsi="仿宋" w:eastAsia="仿宋" w:cs="Arial"/>
                <w:b/>
                <w:bCs/>
                <w:sz w:val="24"/>
                <w:szCs w:val="24"/>
              </w:rPr>
              <w:t>获奖情况</w:t>
            </w:r>
          </w:p>
        </w:tc>
        <w:tc>
          <w:tcPr>
            <w:tcW w:w="4470" w:type="pct"/>
            <w:gridSpan w:val="7"/>
            <w:shd w:val="clear"/>
            <w:vAlign w:val="center"/>
          </w:tcPr>
          <w:p w14:paraId="2BB84A6C">
            <w:pPr>
              <w:snapToGrid w:val="0"/>
              <w:spacing w:line="360" w:lineRule="auto"/>
              <w:ind w:firstLine="480" w:firstLineChars="20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2020.09 荣获青海省教育厅小岛奖励金；</w:t>
            </w:r>
          </w:p>
          <w:p w14:paraId="31E9BFB2">
            <w:pPr>
              <w:snapToGrid w:val="0"/>
              <w:spacing w:line="360" w:lineRule="auto"/>
              <w:ind w:firstLine="480" w:firstLineChars="20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2020.09 荣获城中区创新创业大赛获企业组一等奖；</w:t>
            </w:r>
          </w:p>
          <w:p w14:paraId="1F4C320C">
            <w:pPr>
              <w:snapToGrid w:val="0"/>
              <w:spacing w:line="360" w:lineRule="auto"/>
              <w:ind w:firstLine="480" w:firstLineChars="20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2020.08 党员进党校轮训工程省级示范班“优秀学员”；</w:t>
            </w:r>
          </w:p>
          <w:p w14:paraId="5F37A19B">
            <w:pPr>
              <w:snapToGrid w:val="0"/>
              <w:spacing w:line="360" w:lineRule="auto"/>
              <w:ind w:firstLine="480" w:firstLineChars="20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2024.06 获优秀硕士毕业论文指导老师荣誉称号；</w:t>
            </w:r>
          </w:p>
          <w:p w14:paraId="2CDB84EF">
            <w:pPr>
              <w:snapToGrid w:val="0"/>
              <w:spacing w:line="360" w:lineRule="auto"/>
              <w:ind w:firstLine="480" w:firstLineChars="20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2023、2024 连续两年获优秀班主任荣誉称号；</w:t>
            </w:r>
          </w:p>
          <w:p w14:paraId="47CD07D2">
            <w:pPr>
              <w:snapToGrid w:val="0"/>
              <w:spacing w:line="360" w:lineRule="auto"/>
              <w:ind w:firstLine="480" w:firstLineChars="200"/>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2025.01 荣获2024年度优秀科研成果奖；</w:t>
            </w:r>
          </w:p>
          <w:p w14:paraId="76AFB769">
            <w:pPr>
              <w:snapToGrid w:val="0"/>
              <w:spacing w:line="360" w:lineRule="auto"/>
              <w:ind w:firstLine="480" w:firstLineChars="200"/>
              <w:rPr>
                <w:rFonts w:hint="eastAsia"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 xml:space="preserve">2026.01 </w:t>
            </w:r>
            <w:r>
              <w:rPr>
                <w:rFonts w:hint="default" w:ascii="Times New Roman" w:hAnsi="Times New Roman" w:eastAsia="仿宋_GB2312" w:cs="Times New Roman"/>
                <w:sz w:val="24"/>
                <w:szCs w:val="24"/>
                <w:lang w:eastAsia="zh-CN"/>
              </w:rPr>
              <w:t>荣获202</w:t>
            </w: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lang w:eastAsia="zh-CN"/>
              </w:rPr>
              <w:t>年度优秀科研成果奖</w:t>
            </w:r>
            <w:r>
              <w:rPr>
                <w:rFonts w:hint="eastAsia" w:ascii="Times New Roman" w:hAnsi="Times New Roman" w:eastAsia="仿宋_GB2312" w:cs="Times New Roman"/>
                <w:sz w:val="24"/>
                <w:szCs w:val="24"/>
                <w:lang w:eastAsia="zh-CN"/>
              </w:rPr>
              <w:t>。</w:t>
            </w:r>
          </w:p>
          <w:p w14:paraId="1DAA0030">
            <w:pPr>
              <w:snapToGrid w:val="0"/>
              <w:spacing w:line="360" w:lineRule="auto"/>
              <w:ind w:firstLine="480" w:firstLineChars="200"/>
              <w:rPr>
                <w:rFonts w:hint="default" w:ascii="Times New Roman" w:hAnsi="Times New Roman" w:eastAsia="仿宋_GB2312" w:cs="Times New Roman"/>
                <w:sz w:val="24"/>
                <w:szCs w:val="24"/>
                <w:lang w:val="en-US" w:eastAsia="zh-CN"/>
              </w:rPr>
            </w:pPr>
          </w:p>
        </w:tc>
      </w:tr>
      <w:tr w14:paraId="5C6C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9" w:type="pct"/>
            <w:textDirection w:val="tbRlV"/>
            <w:vAlign w:val="center"/>
          </w:tcPr>
          <w:p w14:paraId="37122726">
            <w:pPr>
              <w:snapToGrid w:val="0"/>
              <w:ind w:left="113" w:right="113"/>
              <w:jc w:val="center"/>
              <w:rPr>
                <w:rFonts w:ascii="仿宋" w:hAnsi="仿宋" w:eastAsia="仿宋" w:cs="Arial"/>
                <w:b/>
                <w:bCs/>
                <w:sz w:val="24"/>
                <w:szCs w:val="24"/>
              </w:rPr>
            </w:pPr>
            <w:r>
              <w:rPr>
                <w:rFonts w:ascii="仿宋" w:hAnsi="仿宋" w:eastAsia="仿宋" w:cs="Arial"/>
                <w:b/>
                <w:bCs/>
                <w:sz w:val="24"/>
                <w:szCs w:val="24"/>
              </w:rPr>
              <w:t>学术论文</w:t>
            </w:r>
          </w:p>
        </w:tc>
        <w:tc>
          <w:tcPr>
            <w:tcW w:w="4470" w:type="pct"/>
            <w:gridSpan w:val="7"/>
            <w:shd w:val="clear"/>
            <w:vAlign w:val="center"/>
          </w:tcPr>
          <w:p w14:paraId="0BDA6CE9">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xml:space="preserve"> Xu Qirong, Li Chen, Meng, Xiangyan, Feng Yakai*. CAG peptide functionalized graphene quantum dots-cationic polymer composite gene carriers. </w:t>
            </w:r>
            <w:r>
              <w:rPr>
                <w:rFonts w:hint="default" w:ascii="Times New Roman" w:hAnsi="Times New Roman" w:eastAsia="仿宋_GB2312" w:cs="Times New Roman"/>
                <w:b w:val="0"/>
                <w:bCs/>
                <w:i/>
                <w:iCs w:val="0"/>
                <w:color w:val="auto"/>
                <w:sz w:val="24"/>
                <w:szCs w:val="24"/>
                <w:lang w:val="en-US" w:eastAsia="zh-CN"/>
              </w:rPr>
              <w:t>Journal of Materials Chemistry B</w:t>
            </w:r>
            <w:r>
              <w:rPr>
                <w:rFonts w:hint="default" w:ascii="Times New Roman" w:hAnsi="Times New Roman" w:eastAsia="仿宋_GB2312" w:cs="Times New Roman"/>
                <w:b w:val="0"/>
                <w:bCs/>
                <w:i w:val="0"/>
                <w:iCs/>
                <w:color w:val="auto"/>
                <w:sz w:val="24"/>
                <w:szCs w:val="24"/>
                <w:lang w:val="en-US" w:eastAsia="zh-CN"/>
              </w:rPr>
              <w:t>, 2024, 12(30): 7357-7366.</w:t>
            </w:r>
          </w:p>
          <w:p w14:paraId="03A0F9A0">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xml:space="preserve">, Bai Lingchuang, Wang Jun, Guo Jintang, Ren Xiangkui, Xia Shihai, Zhang Wencheng, Feng Yakai*. Multifunctional peptide conjugated amphiphilic cationic copolymer for enhancing ECs targeting, penetrating and nuclear accumulation. </w:t>
            </w:r>
            <w:r>
              <w:rPr>
                <w:rFonts w:hint="default" w:ascii="Times New Roman" w:hAnsi="Times New Roman" w:eastAsia="仿宋_GB2312" w:cs="Times New Roman"/>
                <w:b w:val="0"/>
                <w:bCs/>
                <w:i/>
                <w:iCs w:val="0"/>
                <w:color w:val="auto"/>
                <w:sz w:val="24"/>
                <w:szCs w:val="24"/>
                <w:lang w:val="en-US" w:eastAsia="zh-CN"/>
              </w:rPr>
              <w:t>Frontiers of Chemical Science and Engineering</w:t>
            </w:r>
            <w:r>
              <w:rPr>
                <w:rFonts w:hint="default" w:ascii="Times New Roman" w:hAnsi="Times New Roman" w:eastAsia="仿宋_GB2312" w:cs="Times New Roman"/>
                <w:b w:val="0"/>
                <w:bCs/>
                <w:i w:val="0"/>
                <w:iCs/>
                <w:color w:val="auto"/>
                <w:sz w:val="24"/>
                <w:szCs w:val="24"/>
                <w:lang w:val="en-US" w:eastAsia="zh-CN"/>
              </w:rPr>
              <w:t>. 2020, 14(5):889-901.</w:t>
            </w:r>
          </w:p>
          <w:p w14:paraId="2780E7A3">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Xu Qirong, Li Chen, Meng Xiangyan,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w:t>
            </w:r>
            <w:r>
              <w:rPr>
                <w:rFonts w:hint="default" w:ascii="Times New Roman" w:hAnsi="Times New Roman" w:eastAsia="仿宋_GB2312" w:cs="Times New Roman"/>
                <w:b/>
                <w:bCs w:val="0"/>
                <w:i w:val="0"/>
                <w:iCs/>
                <w:color w:val="auto"/>
                <w:sz w:val="24"/>
                <w:szCs w:val="24"/>
                <w:lang w:val="en-US" w:eastAsia="zh-CN"/>
              </w:rPr>
              <w:t xml:space="preserve"> </w:t>
            </w:r>
            <w:r>
              <w:rPr>
                <w:rFonts w:hint="default" w:ascii="Times New Roman" w:hAnsi="Times New Roman" w:eastAsia="仿宋_GB2312" w:cs="Times New Roman"/>
                <w:b w:val="0"/>
                <w:bCs/>
                <w:i w:val="0"/>
                <w:iCs/>
                <w:color w:val="auto"/>
                <w:sz w:val="24"/>
                <w:szCs w:val="24"/>
                <w:lang w:val="en-US" w:eastAsia="zh-CN"/>
              </w:rPr>
              <w:t xml:space="preserve">Feng Yakai. Polyethylenimine-modified graphene quantum dots promote endothelial cell proliferation. </w:t>
            </w:r>
            <w:r>
              <w:rPr>
                <w:rFonts w:hint="default" w:ascii="Times New Roman" w:hAnsi="Times New Roman" w:eastAsia="仿宋_GB2312" w:cs="Times New Roman"/>
                <w:b w:val="0"/>
                <w:bCs/>
                <w:i/>
                <w:iCs w:val="0"/>
                <w:color w:val="auto"/>
                <w:sz w:val="24"/>
                <w:szCs w:val="24"/>
                <w:lang w:val="en-US" w:eastAsia="zh-CN"/>
              </w:rPr>
              <w:t>Regenerative Biomaterials</w:t>
            </w:r>
            <w:r>
              <w:rPr>
                <w:rFonts w:hint="default" w:ascii="Times New Roman" w:hAnsi="Times New Roman" w:eastAsia="仿宋_GB2312" w:cs="Times New Roman"/>
                <w:b w:val="0"/>
                <w:bCs/>
                <w:i w:val="0"/>
                <w:iCs/>
                <w:color w:val="auto"/>
                <w:sz w:val="24"/>
                <w:szCs w:val="24"/>
                <w:lang w:val="en-US" w:eastAsia="zh-CN"/>
              </w:rPr>
              <w:t>, 2024, 3(2):137-146.</w:t>
            </w:r>
          </w:p>
          <w:p w14:paraId="5880E50B">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Li Chen, Xu Qirong, Meng Xiangyan,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w:t>
            </w:r>
            <w:r>
              <w:rPr>
                <w:rFonts w:hint="default" w:ascii="Times New Roman" w:hAnsi="Times New Roman" w:eastAsia="仿宋_GB2312" w:cs="Times New Roman"/>
                <w:b/>
                <w:bCs w:val="0"/>
                <w:i w:val="0"/>
                <w:iCs/>
                <w:color w:val="auto"/>
                <w:sz w:val="24"/>
                <w:szCs w:val="24"/>
                <w:lang w:val="en-US" w:eastAsia="zh-CN"/>
              </w:rPr>
              <w:t xml:space="preserve"> </w:t>
            </w:r>
            <w:r>
              <w:rPr>
                <w:rFonts w:hint="default" w:ascii="Times New Roman" w:hAnsi="Times New Roman" w:eastAsia="仿宋_GB2312" w:cs="Times New Roman"/>
                <w:b w:val="0"/>
                <w:bCs/>
                <w:i w:val="0"/>
                <w:iCs/>
                <w:color w:val="auto"/>
                <w:sz w:val="24"/>
                <w:szCs w:val="24"/>
                <w:lang w:val="en-US" w:eastAsia="zh-CN"/>
              </w:rPr>
              <w:t xml:space="preserve">Feng Yakai. Amphiphilic multi-targeting copolymer micelles efficiently deliver pZNF580 to promote endothelial cell proliferation and migration. </w:t>
            </w:r>
            <w:r>
              <w:rPr>
                <w:rFonts w:hint="default" w:ascii="Times New Roman" w:hAnsi="Times New Roman" w:eastAsia="仿宋_GB2312" w:cs="Times New Roman"/>
                <w:b w:val="0"/>
                <w:bCs/>
                <w:i/>
                <w:iCs w:val="0"/>
                <w:color w:val="auto"/>
                <w:sz w:val="24"/>
                <w:szCs w:val="24"/>
                <w:lang w:val="en-US" w:eastAsia="zh-CN"/>
              </w:rPr>
              <w:t>Journal of Materials Chemistry B</w:t>
            </w:r>
            <w:r>
              <w:rPr>
                <w:rFonts w:hint="default" w:ascii="Times New Roman" w:hAnsi="Times New Roman" w:eastAsia="仿宋_GB2312" w:cs="Times New Roman"/>
                <w:b w:val="0"/>
                <w:bCs/>
                <w:i w:val="0"/>
                <w:iCs/>
                <w:color w:val="auto"/>
                <w:sz w:val="24"/>
                <w:szCs w:val="24"/>
                <w:lang w:val="en-US" w:eastAsia="zh-CN"/>
              </w:rPr>
              <w:t>, 2024, 12(11):2843-2854.</w:t>
            </w:r>
          </w:p>
          <w:p w14:paraId="00B7C1C9">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Zhao Lianglian, Ma Weixun, Chen Xuelin,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xml:space="preserve"> Effect of magnesium hydroxide fly ash compounded flame retardant on the properties of polyvinyl chloride. </w:t>
            </w:r>
            <w:r>
              <w:rPr>
                <w:rFonts w:hint="default" w:ascii="Times New Roman" w:hAnsi="Times New Roman" w:eastAsia="仿宋_GB2312" w:cs="Times New Roman"/>
                <w:b w:val="0"/>
                <w:bCs/>
                <w:i/>
                <w:iCs w:val="0"/>
                <w:color w:val="auto"/>
                <w:sz w:val="24"/>
                <w:szCs w:val="24"/>
                <w:lang w:val="en-US" w:eastAsia="zh-CN"/>
              </w:rPr>
              <w:t>Journal of Physics: Conference Series. IOP Publishing</w:t>
            </w:r>
            <w:r>
              <w:rPr>
                <w:rFonts w:hint="default" w:ascii="Times New Roman" w:hAnsi="Times New Roman" w:eastAsia="仿宋_GB2312" w:cs="Times New Roman"/>
                <w:b w:val="0"/>
                <w:bCs/>
                <w:i w:val="0"/>
                <w:iCs/>
                <w:color w:val="auto"/>
                <w:sz w:val="24"/>
                <w:szCs w:val="24"/>
                <w:lang w:val="en-US" w:eastAsia="zh-CN"/>
              </w:rPr>
              <w:t>, 2024, 2783(1): 012008.</w:t>
            </w:r>
          </w:p>
          <w:p w14:paraId="031F018E">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Hao Zhongming, Zhang yansen, Cui Shuya,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xml:space="preserve">, Meng Leichao and Ma shenghua. Research on the Enhanced Photocatalytic Hydrogen Production Performance of Anatase Synergistically Co-Doped with Aluminum, Zinc and Cerium[J]. </w:t>
            </w:r>
            <w:r>
              <w:rPr>
                <w:rFonts w:hint="default" w:ascii="Times New Roman" w:hAnsi="Times New Roman" w:eastAsia="仿宋_GB2312" w:cs="Times New Roman"/>
                <w:b w:val="0"/>
                <w:bCs/>
                <w:i/>
                <w:iCs w:val="0"/>
                <w:color w:val="auto"/>
                <w:sz w:val="24"/>
                <w:szCs w:val="24"/>
                <w:lang w:val="en-US" w:eastAsia="zh-CN"/>
              </w:rPr>
              <w:t xml:space="preserve">Journal of Materials Chemistry A, </w:t>
            </w:r>
            <w:r>
              <w:rPr>
                <w:rFonts w:hint="default" w:ascii="Times New Roman" w:hAnsi="Times New Roman" w:eastAsia="仿宋_GB2312" w:cs="Times New Roman"/>
                <w:b w:val="0"/>
                <w:bCs/>
                <w:i w:val="0"/>
                <w:iCs/>
                <w:color w:val="auto"/>
                <w:sz w:val="24"/>
                <w:szCs w:val="24"/>
                <w:lang w:val="en-US" w:eastAsia="zh-CN"/>
              </w:rPr>
              <w:t xml:space="preserve">2025, 13, 24126 - 24150. </w:t>
            </w:r>
            <w:r>
              <w:rPr>
                <w:rFonts w:hint="default" w:ascii="Times New Roman" w:hAnsi="Times New Roman" w:eastAsia="仿宋_GB2312" w:cs="Times New Roman"/>
                <w:b w:val="0"/>
                <w:bCs/>
                <w:i w:val="0"/>
                <w:iCs/>
                <w:color w:val="auto"/>
                <w:sz w:val="24"/>
                <w:szCs w:val="24"/>
                <w:lang w:val="en-US" w:eastAsia="zh-CN"/>
              </w:rPr>
              <w:fldChar w:fldCharType="begin"/>
            </w:r>
            <w:r>
              <w:rPr>
                <w:rFonts w:hint="default" w:ascii="Times New Roman" w:hAnsi="Times New Roman" w:eastAsia="仿宋_GB2312" w:cs="Times New Roman"/>
                <w:b w:val="0"/>
                <w:bCs/>
                <w:i w:val="0"/>
                <w:iCs/>
                <w:color w:val="auto"/>
                <w:sz w:val="24"/>
                <w:szCs w:val="24"/>
                <w:lang w:val="en-US" w:eastAsia="zh-CN"/>
              </w:rPr>
              <w:instrText xml:space="preserve"> HYPERLINK "https://doi.org/10.1039/D5TA01353D." </w:instrText>
            </w:r>
            <w:r>
              <w:rPr>
                <w:rFonts w:hint="default" w:ascii="Times New Roman" w:hAnsi="Times New Roman" w:eastAsia="仿宋_GB2312" w:cs="Times New Roman"/>
                <w:b w:val="0"/>
                <w:bCs/>
                <w:i w:val="0"/>
                <w:iCs/>
                <w:color w:val="auto"/>
                <w:sz w:val="24"/>
                <w:szCs w:val="24"/>
                <w:lang w:val="en-US" w:eastAsia="zh-CN"/>
              </w:rPr>
              <w:fldChar w:fldCharType="separate"/>
            </w:r>
            <w:r>
              <w:rPr>
                <w:rFonts w:hint="default" w:ascii="Times New Roman" w:hAnsi="Times New Roman" w:eastAsia="仿宋_GB2312" w:cs="Times New Roman"/>
                <w:b w:val="0"/>
                <w:bCs/>
                <w:i w:val="0"/>
                <w:iCs/>
                <w:color w:val="auto"/>
                <w:sz w:val="24"/>
                <w:szCs w:val="24"/>
                <w:lang w:val="en-US" w:eastAsia="zh-CN"/>
              </w:rPr>
              <w:t>https://doi.org/10.1039/ D5TA01353D.</w:t>
            </w:r>
            <w:r>
              <w:rPr>
                <w:rFonts w:hint="default" w:ascii="Times New Roman" w:hAnsi="Times New Roman" w:eastAsia="仿宋_GB2312" w:cs="Times New Roman"/>
                <w:b w:val="0"/>
                <w:bCs/>
                <w:i w:val="0"/>
                <w:iCs/>
                <w:color w:val="auto"/>
                <w:sz w:val="24"/>
                <w:szCs w:val="24"/>
                <w:lang w:val="en-US" w:eastAsia="zh-CN"/>
              </w:rPr>
              <w:fldChar w:fldCharType="end"/>
            </w:r>
          </w:p>
          <w:p w14:paraId="0C62D49E">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Hao Zhongming,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Enhanced hydrogen production from methanol–water solutions via photocatalysis using lead–cerium co-doped TiO</w:t>
            </w:r>
            <w:r>
              <w:rPr>
                <w:rFonts w:hint="default" w:ascii="Times New Roman" w:hAnsi="Times New Roman" w:eastAsia="仿宋_GB2312" w:cs="Times New Roman"/>
                <w:b w:val="0"/>
                <w:bCs/>
                <w:i w:val="0"/>
                <w:iCs/>
                <w:color w:val="auto"/>
                <w:sz w:val="24"/>
                <w:szCs w:val="24"/>
                <w:vertAlign w:val="subscript"/>
                <w:lang w:val="en-US" w:eastAsia="zh-CN"/>
              </w:rPr>
              <w:t>2</w:t>
            </w:r>
            <w:r>
              <w:rPr>
                <w:rFonts w:hint="default" w:ascii="Times New Roman" w:hAnsi="Times New Roman" w:eastAsia="仿宋_GB2312" w:cs="Times New Roman"/>
                <w:b w:val="0"/>
                <w:bCs/>
                <w:i w:val="0"/>
                <w:iCs/>
                <w:color w:val="auto"/>
                <w:sz w:val="24"/>
                <w:szCs w:val="24"/>
                <w:lang w:val="en-US" w:eastAsia="zh-CN"/>
              </w:rPr>
              <w:t xml:space="preserve"> with abundant oxygen vacancies[J]. New J</w:t>
            </w:r>
            <w:r>
              <w:rPr>
                <w:rFonts w:hint="default" w:ascii="Times New Roman" w:hAnsi="Times New Roman" w:eastAsia="仿宋_GB2312" w:cs="Times New Roman"/>
                <w:b w:val="0"/>
                <w:bCs/>
                <w:i/>
                <w:iCs w:val="0"/>
                <w:color w:val="auto"/>
                <w:sz w:val="24"/>
                <w:szCs w:val="24"/>
                <w:lang w:val="en-US" w:eastAsia="zh-CN"/>
              </w:rPr>
              <w:t xml:space="preserve">ournal of </w:t>
            </w:r>
            <w:r>
              <w:rPr>
                <w:rFonts w:hint="default" w:ascii="Times New Roman" w:hAnsi="Times New Roman" w:eastAsia="仿宋_GB2312" w:cs="Times New Roman"/>
                <w:b w:val="0"/>
                <w:bCs/>
                <w:i w:val="0"/>
                <w:iCs/>
                <w:color w:val="auto"/>
                <w:sz w:val="24"/>
                <w:szCs w:val="24"/>
                <w:lang w:val="en-US" w:eastAsia="zh-CN"/>
              </w:rPr>
              <w:t xml:space="preserve"> Chemistry., 2025, 49, 2161–2176.</w:t>
            </w:r>
          </w:p>
          <w:p w14:paraId="2BF03B4F">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Wang Yuanchao, Li Ying, Liu Wen, Li Chen,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Meng Xiangyan, Feng Yakai*. ROS-Responsive Poly(α-L-lysine)-Based Nanoparticles Loaded with Doxycycline Combat Oxidative Stress and Bacterial Infection[J]. Macromolecular bioscience, 2024, 24(6), e2300580-e2300580.</w:t>
            </w:r>
          </w:p>
          <w:p w14:paraId="43081FD8">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Zhao Lianglian, Xu Xiuli, Ma Weixun, Zhang Heng, Chen Xuelin, Qiao Shilan, </w:t>
            </w:r>
            <w:r>
              <w:rPr>
                <w:rFonts w:hint="default" w:ascii="Times New Roman" w:hAnsi="Times New Roman" w:eastAsia="仿宋_GB2312" w:cs="Times New Roman"/>
                <w:b/>
                <w:bCs w:val="0"/>
                <w:i w:val="0"/>
                <w:iCs/>
                <w:color w:val="auto"/>
                <w:sz w:val="24"/>
                <w:szCs w:val="24"/>
                <w:lang w:val="en-US" w:eastAsia="zh-CN"/>
              </w:rPr>
              <w:t xml:space="preserve">Duo Xinghong*. </w:t>
            </w:r>
            <w:r>
              <w:rPr>
                <w:rFonts w:hint="default" w:ascii="Times New Roman" w:hAnsi="Times New Roman" w:eastAsia="仿宋_GB2312" w:cs="Times New Roman"/>
                <w:b w:val="0"/>
                <w:bCs/>
                <w:i w:val="0"/>
                <w:iCs/>
                <w:color w:val="auto"/>
                <w:sz w:val="24"/>
                <w:szCs w:val="24"/>
                <w:lang w:val="en-US" w:eastAsia="zh-CN"/>
              </w:rPr>
              <w:t xml:space="preserve">Effect of Microencapsulated Magnesium Hydroxide@Fly Ash on the Properties of Synergistic Flame-Retardant PVC Materials[J]. Journal of Applied Polymer Science, 2025, 0: e57395. </w:t>
            </w:r>
            <w:r>
              <w:rPr>
                <w:rFonts w:hint="default" w:ascii="Times New Roman" w:hAnsi="Times New Roman" w:eastAsia="仿宋_GB2312" w:cs="Times New Roman"/>
                <w:b w:val="0"/>
                <w:bCs/>
                <w:i w:val="0"/>
                <w:iCs/>
                <w:color w:val="auto"/>
                <w:sz w:val="24"/>
                <w:szCs w:val="24"/>
                <w:lang w:val="en-US" w:eastAsia="zh-CN"/>
              </w:rPr>
              <w:fldChar w:fldCharType="begin"/>
            </w:r>
            <w:r>
              <w:rPr>
                <w:rFonts w:hint="default" w:ascii="Times New Roman" w:hAnsi="Times New Roman" w:eastAsia="仿宋_GB2312" w:cs="Times New Roman"/>
                <w:b w:val="0"/>
                <w:bCs/>
                <w:i w:val="0"/>
                <w:iCs/>
                <w:color w:val="auto"/>
                <w:sz w:val="24"/>
                <w:szCs w:val="24"/>
                <w:lang w:val="en-US" w:eastAsia="zh-CN"/>
              </w:rPr>
              <w:instrText xml:space="preserve"> HYPERLINK "https://doi.org/10.1002/app.57395." </w:instrText>
            </w:r>
            <w:r>
              <w:rPr>
                <w:rFonts w:hint="default" w:ascii="Times New Roman" w:hAnsi="Times New Roman" w:eastAsia="仿宋_GB2312" w:cs="Times New Roman"/>
                <w:b w:val="0"/>
                <w:bCs/>
                <w:i w:val="0"/>
                <w:iCs/>
                <w:color w:val="auto"/>
                <w:sz w:val="24"/>
                <w:szCs w:val="24"/>
                <w:lang w:val="en-US" w:eastAsia="zh-CN"/>
              </w:rPr>
              <w:fldChar w:fldCharType="separate"/>
            </w:r>
            <w:r>
              <w:rPr>
                <w:rStyle w:val="7"/>
                <w:rFonts w:hint="default" w:ascii="Times New Roman" w:hAnsi="Times New Roman" w:eastAsia="仿宋_GB2312" w:cs="Times New Roman"/>
                <w:b w:val="0"/>
                <w:bCs/>
                <w:i w:val="0"/>
                <w:iCs/>
                <w:sz w:val="24"/>
                <w:szCs w:val="24"/>
                <w:lang w:val="en-US" w:eastAsia="zh-CN"/>
              </w:rPr>
              <w:t>https://doi.org/10.1002/app.57395.</w:t>
            </w:r>
            <w:r>
              <w:rPr>
                <w:rFonts w:hint="default" w:ascii="Times New Roman" w:hAnsi="Times New Roman" w:eastAsia="仿宋_GB2312" w:cs="Times New Roman"/>
                <w:b w:val="0"/>
                <w:bCs/>
                <w:i w:val="0"/>
                <w:iCs/>
                <w:color w:val="auto"/>
                <w:sz w:val="24"/>
                <w:szCs w:val="24"/>
                <w:lang w:val="en-US" w:eastAsia="zh-CN"/>
              </w:rPr>
              <w:fldChar w:fldCharType="end"/>
            </w:r>
          </w:p>
          <w:p w14:paraId="4751AA72">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Bai Lingchuang, Wang Jun, Ji Hao, Guo Jintang,  Ren Xiangkui, Shi Changcan, Xia Shihai, Zhang Wencheng, Feng Yakai*. CAGW and TAT-NLS peptides functionalized multitargeting gene delivery system with high transfection efficiency. Polymers Advanced Technologies. 2019, 30:2567–2576. DOI:10.1002/pat.4686</w:t>
            </w:r>
          </w:p>
          <w:p w14:paraId="0294E08C">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xml:space="preserve">, Bai Lingchuang, Wang Jun, Guo Jintang, Ren Xiangkui, Xia Shihai, Zhang Wencheng, Feng Yakai*. Multifunctional peptide conjugated amphiphilic cationic copolymer for enhancing ECs targeting, penetrating and nuclear accumulation. Frontiers of Chemical Science and Engineering. 2020, DOI:10.1007/s11705-020-1919-8.  </w:t>
            </w:r>
          </w:p>
          <w:p w14:paraId="3B1951C5">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Li Qian, Wang Jun, Lv Juan, Hao Xuefang, Feng Yakai*, Ren Xiangkui, Shi Changcan, Zhang Wencheng. Core/Shell Gene Carriers with Different Lengths of PLGA Chains to Transfect Endothelial Cells. Langmuir 2017, 33(46): 13315-13325.</w:t>
            </w:r>
          </w:p>
          <w:p w14:paraId="2F7A5545">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Wang Jun, Li Qian, Neve Agnaldo Luis, Akpanyung Mary, Nejjari Abdelilah, Ali Zaidi Syed Saqib, Feng Yakai*, Zhang Wencheng, Shi Changcan. CAGW Peptide Modified Biodegradable ationic Copolymer for Effective Gene Delivery. Polymers, 2017, 9(5), 158.</w:t>
            </w:r>
          </w:p>
          <w:p w14:paraId="6C0808E6">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Bai Lingchuang, Li Qian, </w:t>
            </w:r>
            <w:r>
              <w:rPr>
                <w:rFonts w:hint="default" w:ascii="Times New Roman" w:hAnsi="Times New Roman" w:eastAsia="仿宋_GB2312" w:cs="Times New Roman"/>
                <w:b/>
                <w:bCs w:val="0"/>
                <w:i w:val="0"/>
                <w:iCs/>
                <w:color w:val="auto"/>
                <w:sz w:val="24"/>
                <w:szCs w:val="24"/>
                <w:lang w:val="en-US" w:eastAsia="zh-CN"/>
              </w:rPr>
              <w:t>Duo Xinghong</w:t>
            </w:r>
            <w:r>
              <w:rPr>
                <w:rFonts w:hint="default" w:ascii="Times New Roman" w:hAnsi="Times New Roman" w:eastAsia="仿宋_GB2312" w:cs="Times New Roman"/>
                <w:b w:val="0"/>
                <w:bCs/>
                <w:i w:val="0"/>
                <w:iCs/>
                <w:color w:val="auto"/>
                <w:sz w:val="24"/>
                <w:szCs w:val="24"/>
                <w:lang w:val="en-US" w:eastAsia="zh-CN"/>
              </w:rPr>
              <w:t>, Hao Xuefang, Zhang Wencheng, Shi Changcan, Guo Jintang, Ren Xiangkui, Feng Yakai. Electrospun PCL-PIBMD/SF blend scaffolds with plasmid complexes for endothelial cell proliferation. RSC Advances, 2017, 7(63), 39452-39464.</w:t>
            </w:r>
          </w:p>
          <w:p w14:paraId="752F153E">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崔淑雅, 许秀丽, 张恒, 王一人,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BOG再液化储罐火灾爆炸事故定量分析[J]. 油气田环境保护, 2025, 35(02):15-21.</w:t>
            </w:r>
          </w:p>
          <w:p w14:paraId="004CDB7B">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张世芝, 唐玮琦, 张明锦*,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基于紫外光谱法的青稞酒快速鉴别方法[J]. 食品与发酵工业, 2020, 46(14):211-215.</w:t>
            </w:r>
          </w:p>
          <w:p w14:paraId="6F6532D7">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9"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姜萧韩, 周若琦, 冯亚凯, 刘晶. 靶向多肽功能化阳离子聚合物携载ZNF580质粒对内皮细胞增殖的影响[J]. 华南师范大学学报(自然科学版, 2020, 52(03):62-69.</w:t>
            </w:r>
          </w:p>
          <w:p w14:paraId="50C89594">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马维勋, 张恒, 赵良莲, 王佳悦, 陈雪琳,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xml:space="preserve">. 羧甲基壳聚糖微胶囊化改性氢氧化镁对聚氯乙烯力学性能及抑烟性能的影响. 青海科技, 2024, 05:20-27.  </w:t>
            </w:r>
          </w:p>
          <w:p w14:paraId="6026C497">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马维勋, 赵良莲, 张恒, 李俊远, 刘孝燕,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MH/GO协同阻燃PVC复合材料的制备与性能研究[J]. 当代化工研究, 2025(07):167-169.</w:t>
            </w:r>
          </w:p>
          <w:p w14:paraId="190E8273">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王一人,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磷酸三甲酯-混盐阻燃电解液性能研究[J]. 无机盐工业, 2025, 57(06):85-92+113.</w:t>
            </w:r>
          </w:p>
          <w:p w14:paraId="7FB28BE7">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崔淑雅, 王一人, 许秀丽,  赵良莲, 马维勋, 张恒,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基于事故树的再液化天然气闪蒸气火灾爆炸事故风险分析[J].油气田环境保护, 2025, 35(04):13-21.</w:t>
            </w:r>
          </w:p>
          <w:p w14:paraId="39C0B5D4">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张恒, 王明翠, 王佳悦, 沙奕,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朵兴茂, 谭宗良. 镁铁铜三元水滑石的制备及其对聚氯乙烯阻燃抑烟性能的影响[J]. 工程塑料应用, 2025, 53(10):193-203.</w:t>
            </w:r>
          </w:p>
          <w:p w14:paraId="26C58B62">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马维勋, 罗肖, 王明翠, 王佳悦, 刘孝燕,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朵兴茂, 谭宗良. 绿色环保型淀粉微胶囊化氢氧化镁与氧化石墨烯协同阻燃聚氯乙烯复合材料[J/OL]. 复合材料学报, 1-10[2026-01-14]. https://doi.org/10.13801/j.cnki.fhclxb.20250925.006.</w:t>
            </w:r>
          </w:p>
          <w:p w14:paraId="6951B85D">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firstLine="218" w:firstLineChars="0"/>
              <w:jc w:val="both"/>
              <w:textAlignment w:val="auto"/>
              <w:rPr>
                <w:rFonts w:hint="default" w:ascii="Times New Roman" w:hAnsi="Times New Roman" w:eastAsia="仿宋_GB2312" w:cs="Times New Roman"/>
                <w:b w:val="0"/>
                <w:bCs/>
                <w:i w:val="0"/>
                <w:iCs/>
                <w:color w:val="auto"/>
                <w:sz w:val="24"/>
                <w:szCs w:val="24"/>
                <w:lang w:val="en-US" w:eastAsia="zh-CN"/>
              </w:rPr>
            </w:pPr>
            <w:r>
              <w:rPr>
                <w:rFonts w:hint="default" w:ascii="Times New Roman" w:hAnsi="Times New Roman" w:eastAsia="仿宋_GB2312" w:cs="Times New Roman"/>
                <w:b w:val="0"/>
                <w:bCs/>
                <w:i w:val="0"/>
                <w:iCs/>
                <w:color w:val="auto"/>
                <w:sz w:val="24"/>
                <w:szCs w:val="24"/>
                <w:lang w:val="en-US" w:eastAsia="zh-CN"/>
              </w:rPr>
              <w:t xml:space="preserve">王明翠, 邹兴武,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李波. 聚乙二醇辅助三水碳酸镁结晶过程机理研究[J/OL]. 盐湖研究, 1-9[2026-03-05]. https://link.cnki.net/urlid/63.1026.p.20260120.2024.002.</w:t>
            </w:r>
          </w:p>
          <w:p w14:paraId="2260CB10">
            <w:pPr>
              <w:keepNext w:val="0"/>
              <w:keepLines w:val="0"/>
              <w:pageBreakBefore w:val="0"/>
              <w:widowControl w:val="0"/>
              <w:numPr>
                <w:ilvl w:val="0"/>
                <w:numId w:val="1"/>
              </w:numPr>
              <w:suppressLineNumbers w:val="0"/>
              <w:kinsoku/>
              <w:wordWrap/>
              <w:overflowPunct/>
              <w:topLinePunct w:val="0"/>
              <w:autoSpaceDE/>
              <w:autoSpaceDN/>
              <w:bidi w:val="0"/>
              <w:adjustRightInd/>
              <w:snapToGrid w:val="0"/>
              <w:spacing w:before="0" w:beforeAutospacing="0" w:after="0" w:afterAutospacing="0" w:line="360" w:lineRule="auto"/>
              <w:ind w:left="-9" w:leftChars="0" w:right="0" w:rightChars="0" w:firstLine="218" w:firstLineChars="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val="0"/>
                <w:bCs/>
                <w:i w:val="0"/>
                <w:iCs/>
                <w:color w:val="auto"/>
                <w:sz w:val="24"/>
                <w:szCs w:val="24"/>
                <w:lang w:val="en-US" w:eastAsia="zh-CN"/>
              </w:rPr>
              <w:t xml:space="preserve">许秀丽, 赵良莲, 张恒, 刘孝燕, </w:t>
            </w:r>
            <w:r>
              <w:rPr>
                <w:rFonts w:hint="default" w:ascii="Times New Roman" w:hAnsi="Times New Roman" w:eastAsia="仿宋_GB2312" w:cs="Times New Roman"/>
                <w:b/>
                <w:bCs w:val="0"/>
                <w:i w:val="0"/>
                <w:iCs/>
                <w:color w:val="auto"/>
                <w:sz w:val="24"/>
                <w:szCs w:val="24"/>
                <w:lang w:val="en-US" w:eastAsia="zh-CN"/>
              </w:rPr>
              <w:t>朵兴红*</w:t>
            </w:r>
            <w:r>
              <w:rPr>
                <w:rFonts w:hint="default" w:ascii="Times New Roman" w:hAnsi="Times New Roman" w:eastAsia="仿宋_GB2312" w:cs="Times New Roman"/>
                <w:b w:val="0"/>
                <w:bCs/>
                <w:i w:val="0"/>
                <w:iCs/>
                <w:color w:val="auto"/>
                <w:sz w:val="24"/>
                <w:szCs w:val="24"/>
                <w:lang w:val="en-US" w:eastAsia="zh-CN"/>
              </w:rPr>
              <w:t>, 朵兴茂. 微胶囊化粉煤灰对PVC能源线缆抑烟性能的影响[J]. 塑料, 2026, 55(01):74-80.</w:t>
            </w:r>
          </w:p>
        </w:tc>
      </w:tr>
    </w:tbl>
    <w:p w14:paraId="332618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EEADC8"/>
    <w:multiLevelType w:val="singleLevel"/>
    <w:tmpl w:val="EEEEADC8"/>
    <w:lvl w:ilvl="0" w:tentative="0">
      <w:start w:val="1"/>
      <w:numFmt w:val="decimal"/>
      <w:suff w:val="nothing"/>
      <w:lvlText w:val="（%1）"/>
      <w:lvlJc w:val="left"/>
      <w:pPr>
        <w:ind w:left="-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8A"/>
    <w:rsid w:val="001F35A7"/>
    <w:rsid w:val="0029539F"/>
    <w:rsid w:val="004746CE"/>
    <w:rsid w:val="005B3E30"/>
    <w:rsid w:val="007A50CC"/>
    <w:rsid w:val="00816522"/>
    <w:rsid w:val="008D5E10"/>
    <w:rsid w:val="00925000"/>
    <w:rsid w:val="009D0328"/>
    <w:rsid w:val="00AF7725"/>
    <w:rsid w:val="00CB768A"/>
    <w:rsid w:val="00D554C6"/>
    <w:rsid w:val="00F343AE"/>
    <w:rsid w:val="02217FDE"/>
    <w:rsid w:val="2FBD0A96"/>
    <w:rsid w:val="5FDB26EF"/>
    <w:rsid w:val="6647220B"/>
    <w:rsid w:val="67562570"/>
    <w:rsid w:val="7C2E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datastoreItem>
</file>

<file path=docProps/app.xml><?xml version="1.0" encoding="utf-8"?>
<Properties xmlns="http://schemas.openxmlformats.org/officeDocument/2006/extended-properties" xmlns:vt="http://schemas.openxmlformats.org/officeDocument/2006/docPropsVTypes">
  <Template>Normal</Template>
  <Pages>6</Pages>
  <Words>97</Words>
  <Characters>97</Characters>
  <Lines>1</Lines>
  <Paragraphs>1</Paragraphs>
  <TotalTime>22</TotalTime>
  <ScaleCrop>false</ScaleCrop>
  <LinksUpToDate>false</LinksUpToDate>
  <CharactersWithSpaces>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2023-03-31T07:33:00Z</dcterms:created>
  <dc:creator>Jiang Ying</dc:creator>
  <cp:lastModifiedBy>朵兴红</cp:lastModifiedBy>
  <dcterms:modified xsi:type="dcterms:W3CDTF">2026-03-08T08:42:14Z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eyJoZGlkIjoiNjFmNzA5NWVhY2I4YmFkNjUyMDc0ZGI5OGU4YTI2NmEiLCJ1c2VySWQiOiI0MDk4NDI4OTEifQ==</vt:lpwstr>
  </property>
  <property fmtid="{D5CDD505-2E9C-101B-9397-08002B2CF9AE}" pid="3" name="KSOProductBuildVer">
    <vt:lpwstr>2052-12.1.0.25225</vt:lpwstr>
  </property>
  <property fmtid="{D5CDD505-2E9C-101B-9397-08002B2CF9AE}" pid="4" name="ICV">
    <vt:lpwstr>3842155F446A4A7DA5B61A83F6B20DF4_13</vt:lpwstr>
  </property>
</Properties>
</file>